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480" w:lineRule="atLeast"/>
        <w:ind w:firstLine="420"/>
        <w:jc w:val="center"/>
        <w:rPr>
          <w:rFonts w:asciiTheme="majorEastAsia" w:hAnsiTheme="majorEastAsia" w:eastAsiaTheme="majorEastAsia" w:cstheme="majorEastAsia"/>
          <w:b/>
          <w:bCs/>
          <w:sz w:val="36"/>
          <w:szCs w:val="36"/>
          <w:lang w:bidi="ar"/>
        </w:rPr>
      </w:pPr>
      <w:bookmarkStart w:id="0" w:name="_GoBack"/>
      <w:r>
        <w:rPr>
          <w:rFonts w:hint="eastAsia" w:asciiTheme="majorEastAsia" w:hAnsiTheme="majorEastAsia" w:eastAsiaTheme="majorEastAsia" w:cstheme="majorEastAsia"/>
          <w:b/>
          <w:bCs/>
          <w:color w:val="444444"/>
          <w:sz w:val="36"/>
          <w:szCs w:val="36"/>
          <w:shd w:val="clear" w:color="auto" w:fill="FFFFFF"/>
        </w:rPr>
        <w:t>寻乌县</w:t>
      </w:r>
      <w:r>
        <w:rPr>
          <w:rFonts w:hint="eastAsia" w:asciiTheme="majorEastAsia" w:hAnsiTheme="majorEastAsia" w:eastAsiaTheme="majorEastAsia" w:cstheme="majorEastAsia"/>
          <w:b/>
          <w:bCs/>
          <w:sz w:val="36"/>
          <w:szCs w:val="36"/>
          <w:lang w:bidi="ar"/>
        </w:rPr>
        <w:t>文化广电新闻出版旅游局</w:t>
      </w:r>
    </w:p>
    <w:p>
      <w:pPr>
        <w:pStyle w:val="3"/>
        <w:widowControl/>
        <w:spacing w:beforeAutospacing="0" w:afterAutospacing="0" w:line="480" w:lineRule="atLeast"/>
        <w:ind w:firstLine="420"/>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color w:val="000000"/>
          <w:sz w:val="36"/>
          <w:szCs w:val="36"/>
          <w:shd w:val="clear" w:color="auto" w:fill="FFFFFF"/>
        </w:rPr>
        <w:t>部门整体支出绩效评价报告</w:t>
      </w:r>
    </w:p>
    <w:bookmarkEnd w:id="0"/>
    <w:p>
      <w:pPr>
        <w:pStyle w:val="3"/>
        <w:widowControl/>
        <w:snapToGrid w:val="0"/>
        <w:spacing w:beforeAutospacing="0" w:afterAutospacing="0" w:line="480" w:lineRule="atLeast"/>
        <w:ind w:firstLine="420"/>
        <w:rPr>
          <w:rFonts w:ascii="仿宋" w:hAnsi="仿宋" w:eastAsia="仿宋" w:cs="仿宋"/>
          <w:b/>
          <w:bCs/>
          <w:sz w:val="32"/>
          <w:szCs w:val="32"/>
        </w:rPr>
      </w:pPr>
      <w:r>
        <w:rPr>
          <w:rFonts w:hint="eastAsia" w:ascii="仿宋" w:hAnsi="仿宋" w:eastAsia="仿宋" w:cs="仿宋"/>
          <w:b/>
          <w:bCs/>
          <w:color w:val="444444"/>
          <w:sz w:val="32"/>
          <w:szCs w:val="32"/>
          <w:shd w:val="clear" w:color="auto" w:fill="FFFFFF"/>
        </w:rPr>
        <w:t>一、部门概况</w:t>
      </w:r>
    </w:p>
    <w:p>
      <w:pPr>
        <w:snapToGrid w:val="0"/>
        <w:spacing w:line="580" w:lineRule="exact"/>
        <w:ind w:firstLine="643" w:firstLineChars="200"/>
        <w:rPr>
          <w:rFonts w:eastAsia="仿宋_GB2312"/>
          <w:sz w:val="32"/>
          <w:szCs w:val="32"/>
        </w:rPr>
      </w:pPr>
      <w:r>
        <w:rPr>
          <w:rFonts w:hint="eastAsia" w:ascii="仿宋" w:hAnsi="仿宋" w:eastAsia="仿宋" w:cs="仿宋"/>
          <w:b/>
          <w:bCs/>
          <w:color w:val="444444"/>
          <w:sz w:val="32"/>
          <w:szCs w:val="32"/>
          <w:shd w:val="clear" w:color="auto" w:fill="FFFFFF"/>
        </w:rPr>
        <w:t>人员编制和内设机构：</w:t>
      </w:r>
      <w:r>
        <w:rPr>
          <w:rFonts w:hint="eastAsia" w:eastAsia="仿宋_GB2312"/>
          <w:sz w:val="32"/>
          <w:szCs w:val="32"/>
        </w:rPr>
        <w:t>寻乌县文广新旅局共有预算单位5个，包括县文广新旅局本级和4个所属二级预算单位（包括纪念馆、图书馆、文化馆、剧院）。实有人数58人，其中：行政人员15人，全额补助事业编制43人。</w:t>
      </w:r>
    </w:p>
    <w:p>
      <w:pPr>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cs="仿宋_GB2312"/>
          <w:sz w:val="32"/>
          <w:szCs w:val="32"/>
        </w:rPr>
        <w:t>机构组成：</w:t>
      </w:r>
      <w:r>
        <w:rPr>
          <w:rFonts w:hint="eastAsia" w:ascii="仿宋_GB2312" w:hAnsi="仿宋_GB2312" w:eastAsia="仿宋_GB2312" w:cs="仿宋_GB2312"/>
          <w:sz w:val="32"/>
          <w:szCs w:val="32"/>
        </w:rPr>
        <w:t>县文化广电新闻出版旅游局内设机构</w:t>
      </w:r>
      <w:r>
        <w:rPr>
          <w:rFonts w:hint="eastAsia" w:ascii="仿宋" w:hAnsi="仿宋" w:eastAsia="仿宋" w:cs="仿宋"/>
          <w:sz w:val="32"/>
          <w:szCs w:val="32"/>
        </w:rPr>
        <w:t>：</w:t>
      </w:r>
      <w:r>
        <w:rPr>
          <w:rFonts w:hint="eastAsia" w:ascii="仿宋" w:hAnsi="仿宋" w:eastAsia="仿宋" w:cs="仿宋"/>
          <w:bCs/>
          <w:sz w:val="32"/>
          <w:szCs w:val="32"/>
        </w:rPr>
        <w:t>综合股（政务服务股）、市场管理产业发展股。</w:t>
      </w:r>
      <w:r>
        <w:rPr>
          <w:rFonts w:hint="eastAsia" w:ascii="仿宋" w:hAnsi="仿宋" w:eastAsia="仿宋" w:cs="仿宋"/>
          <w:color w:val="444444"/>
          <w:sz w:val="28"/>
          <w:szCs w:val="28"/>
          <w:shd w:val="clear" w:color="auto" w:fill="FFFFFF"/>
        </w:rPr>
        <w:br w:type="textWrapping"/>
      </w:r>
      <w:r>
        <w:rPr>
          <w:rFonts w:hint="eastAsia" w:ascii="仿宋" w:hAnsi="仿宋" w:eastAsia="仿宋" w:cs="仿宋"/>
          <w:color w:val="444444"/>
          <w:sz w:val="28"/>
          <w:szCs w:val="28"/>
          <w:shd w:val="clear" w:color="auto" w:fill="FFFFFF"/>
        </w:rPr>
        <w:t xml:space="preserve">    </w:t>
      </w:r>
      <w:r>
        <w:rPr>
          <w:rFonts w:hint="eastAsia" w:ascii="仿宋" w:hAnsi="仿宋" w:eastAsia="仿宋" w:cs="仿宋"/>
          <w:b/>
          <w:bCs/>
          <w:color w:val="444444"/>
          <w:sz w:val="32"/>
          <w:szCs w:val="32"/>
          <w:shd w:val="clear" w:color="auto" w:fill="FFFFFF"/>
        </w:rPr>
        <w:t>主要职能：</w:t>
      </w:r>
      <w:r>
        <w:rPr>
          <w:rFonts w:hint="eastAsia" w:ascii="仿宋_GB2312" w:hAnsi="仿宋_GB2312" w:eastAsia="仿宋_GB2312" w:cs="仿宋_GB2312"/>
          <w:sz w:val="32"/>
          <w:szCs w:val="32"/>
        </w:rPr>
        <w:t>寻乌县文化广电新闻出版旅游局贯彻落实党中央关于文化、广播影视、新闻出版、旅游工作的方针政策和决策部署，在履行职责过程中坚持和加强党对文化、广播影视、新闻出版、旅游工作的集中统一领导。主要职责是:</w:t>
      </w:r>
    </w:p>
    <w:p>
      <w:pPr>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w:t>
      </w:r>
      <w:r>
        <w:rPr>
          <w:rFonts w:hint="eastAsia" w:ascii="仿宋_GB2312" w:hAnsi="仿宋_GB2312" w:eastAsia="仿宋_GB2312" w:cs="仿宋_GB2312"/>
          <w:sz w:val="32"/>
          <w:szCs w:val="32"/>
        </w:rPr>
        <w:t>贯彻执行党和国家关于文化、广播影视、新闻出版、旅游工作方面的法律、法规、规章和方针政策，拟订全县文化、广播影视、新闻出版、旅游管理的政策措施和管理制度。</w:t>
      </w:r>
    </w:p>
    <w:p>
      <w:pPr>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w:t>
      </w:r>
      <w:r>
        <w:rPr>
          <w:rFonts w:hint="eastAsia" w:ascii="仿宋_GB2312" w:hAnsi="仿宋_GB2312" w:eastAsia="仿宋_GB2312" w:cs="仿宋_GB2312"/>
          <w:sz w:val="32"/>
          <w:szCs w:val="32"/>
        </w:rPr>
        <w:t>统筹规划全县文化事业、文化产业、广播影视、新闻出版和旅游业发展，拟订发展规划并组织实施，推进文化和旅游融合发展，推进文化、广播影视、新闻出版、旅游领域体制机制改革，推进文化强县和旅游强县建设。</w:t>
      </w:r>
    </w:p>
    <w:p>
      <w:pPr>
        <w:snapToGrid w:val="0"/>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3、</w:t>
      </w:r>
      <w:r>
        <w:rPr>
          <w:rFonts w:hint="eastAsia" w:ascii="仿宋_GB2312" w:hAnsi="仿宋_GB2312" w:eastAsia="仿宋_GB2312" w:cs="仿宋_GB2312"/>
          <w:sz w:val="32"/>
          <w:szCs w:val="32"/>
        </w:rPr>
        <w:t>管理全县性重大文化和旅游活动，组织全县旅游整体形象推广，促进文化、广播影视、新闻出版和旅游产业对外合作和市场推广，制定旅游市场开发战略并组织实施。指导协调假日旅游和红色旅游工作。</w:t>
      </w:r>
    </w:p>
    <w:p>
      <w:pPr>
        <w:snapToGrid w:val="0"/>
        <w:spacing w:line="560" w:lineRule="exact"/>
        <w:ind w:firstLine="320" w:firstLineChars="100"/>
        <w:rPr>
          <w:rFonts w:ascii="仿宋_GB2312" w:hAnsi="仿宋_GB2312" w:eastAsia="仿宋_GB2312" w:cs="仿宋_GB2312"/>
          <w:sz w:val="32"/>
          <w:szCs w:val="32"/>
        </w:rPr>
      </w:pPr>
      <w:r>
        <w:rPr>
          <w:rFonts w:hint="eastAsia" w:ascii="楷体_GB2312" w:hAnsi="楷体_GB2312" w:eastAsia="楷体_GB2312" w:cs="楷体_GB2312"/>
          <w:sz w:val="32"/>
          <w:szCs w:val="32"/>
        </w:rPr>
        <w:t>4、</w:t>
      </w:r>
      <w:r>
        <w:rPr>
          <w:rFonts w:hint="eastAsia" w:ascii="仿宋_GB2312" w:hAnsi="仿宋_GB2312" w:eastAsia="仿宋_GB2312" w:cs="仿宋_GB2312"/>
          <w:sz w:val="32"/>
          <w:szCs w:val="32"/>
        </w:rPr>
        <w:t>完成县委、县政府交办的其他任务。</w:t>
      </w:r>
    </w:p>
    <w:p>
      <w:pPr>
        <w:snapToGrid w:val="0"/>
        <w:spacing w:line="312"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444444"/>
          <w:sz w:val="32"/>
          <w:szCs w:val="32"/>
          <w:shd w:val="clear" w:color="auto" w:fill="FFFFFF"/>
        </w:rPr>
        <w:t>二、部门整体支出管理及使用情况</w:t>
      </w:r>
    </w:p>
    <w:p>
      <w:pPr>
        <w:pStyle w:val="3"/>
        <w:widowControl/>
        <w:snapToGrid w:val="0"/>
        <w:spacing w:beforeAutospacing="0" w:afterAutospacing="0" w:line="312" w:lineRule="auto"/>
        <w:ind w:firstLine="420"/>
        <w:rPr>
          <w:rFonts w:ascii="仿宋_GB2312" w:hAnsi="仿宋_GB2312" w:eastAsia="仿宋_GB2312" w:cs="仿宋_GB2312"/>
          <w:sz w:val="32"/>
          <w:szCs w:val="32"/>
        </w:rPr>
      </w:pPr>
      <w:r>
        <w:rPr>
          <w:rFonts w:hint="eastAsia" w:ascii="仿宋_GB2312" w:hAnsi="仿宋_GB2312" w:eastAsia="仿宋_GB2312" w:cs="仿宋_GB2312"/>
          <w:color w:val="444444"/>
          <w:sz w:val="32"/>
          <w:szCs w:val="32"/>
          <w:shd w:val="clear" w:color="auto" w:fill="FFFFFF"/>
        </w:rPr>
        <w:t>（一）预算执行情况</w:t>
      </w:r>
    </w:p>
    <w:p>
      <w:pPr>
        <w:pStyle w:val="3"/>
        <w:widowControl/>
        <w:snapToGrid w:val="0"/>
        <w:spacing w:beforeAutospacing="0" w:afterAutospacing="0" w:line="312" w:lineRule="auto"/>
        <w:ind w:firstLine="42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2019年收入1822.06万元，其中财政拨款收入1822.06万元，其他收入0万元，2018年年初结转9.83万元。2019年实际支出1822.06万元，年末结余9.83万元。</w:t>
      </w:r>
    </w:p>
    <w:p>
      <w:pPr>
        <w:pStyle w:val="3"/>
        <w:widowControl/>
        <w:snapToGrid w:val="0"/>
        <w:spacing w:beforeAutospacing="0" w:afterAutospacing="0" w:line="312" w:lineRule="auto"/>
        <w:ind w:firstLine="42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color w:val="444444"/>
          <w:sz w:val="32"/>
          <w:szCs w:val="32"/>
          <w:shd w:val="clear" w:color="auto" w:fill="FFFFFF"/>
        </w:rPr>
        <w:t>（二）预算支出情况</w:t>
      </w:r>
    </w:p>
    <w:p>
      <w:pPr>
        <w:pStyle w:val="3"/>
        <w:widowControl/>
        <w:snapToGrid w:val="0"/>
        <w:spacing w:beforeAutospacing="0" w:afterAutospacing="0" w:line="312" w:lineRule="auto"/>
        <w:ind w:firstLine="640" w:firstLineChars="200"/>
        <w:rPr>
          <w:rFonts w:ascii="仿宋_GB2312" w:hAnsi="仿宋_GB2312" w:eastAsia="仿宋_GB2312" w:cs="仿宋_GB2312"/>
          <w:color w:val="444444"/>
          <w:sz w:val="28"/>
          <w:szCs w:val="28"/>
          <w:shd w:val="clear" w:color="auto" w:fill="FFFFFF"/>
        </w:rPr>
      </w:pPr>
      <w:r>
        <w:rPr>
          <w:rFonts w:hint="eastAsia" w:ascii="仿宋_GB2312" w:hAnsi="仿宋_GB2312" w:eastAsia="仿宋_GB2312" w:cs="仿宋_GB2312"/>
          <w:sz w:val="32"/>
          <w:szCs w:val="32"/>
        </w:rPr>
        <w:t>2019年县文广新旅局部门</w:t>
      </w:r>
      <w:r>
        <w:rPr>
          <w:rFonts w:hint="eastAsia" w:ascii="仿宋_GB2312" w:hAnsi="仿宋_GB2312" w:eastAsia="仿宋_GB2312" w:cs="仿宋_GB2312"/>
          <w:sz w:val="32"/>
          <w:szCs w:val="32"/>
          <w:lang w:val="zh-CN"/>
        </w:rPr>
        <w:t>支出预算</w:t>
      </w:r>
      <w:r>
        <w:rPr>
          <w:rFonts w:hint="eastAsia" w:ascii="仿宋_GB2312" w:hAnsi="仿宋_GB2312" w:eastAsia="仿宋_GB2312" w:cs="仿宋_GB2312"/>
          <w:sz w:val="32"/>
          <w:szCs w:val="32"/>
        </w:rPr>
        <w:t>1822.06万元</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按支出性质分，基本支出为1822.06万元，项目支出为0万元；按支出经济分类分，工资福利支出628.90万元，商品和服务支出385.32万元，对个人和家庭的补助24.85万元，资本性支出782.98万元。</w:t>
      </w:r>
      <w:r>
        <w:rPr>
          <w:rFonts w:hint="eastAsia" w:ascii="仿宋_GB2312" w:hAnsi="仿宋_GB2312" w:eastAsia="仿宋_GB2312" w:cs="仿宋_GB2312"/>
          <w:color w:val="444444"/>
          <w:sz w:val="32"/>
          <w:szCs w:val="32"/>
          <w:shd w:val="clear" w:color="auto" w:fill="FFFFFF"/>
        </w:rPr>
        <w:t>2019年度，我局“三公”经费支出总额8.15万元，年初预算为11.71万元。其中，公务接待费5.97万元，年初预算为7.7万元；公务用车运行维护费2.18万元，年初预算为4.01万元；因公出国（境）0万元，年初预算为0万元。</w:t>
      </w:r>
    </w:p>
    <w:p>
      <w:pPr>
        <w:pStyle w:val="3"/>
        <w:widowControl/>
        <w:snapToGrid w:val="0"/>
        <w:spacing w:beforeAutospacing="0" w:afterAutospacing="0" w:line="312" w:lineRule="auto"/>
        <w:ind w:firstLine="420"/>
        <w:rPr>
          <w:rFonts w:ascii="仿宋_GB2312" w:hAnsi="仿宋_GB2312" w:eastAsia="仿宋_GB2312" w:cs="仿宋_GB2312"/>
          <w:sz w:val="32"/>
          <w:szCs w:val="32"/>
        </w:rPr>
      </w:pPr>
      <w:r>
        <w:rPr>
          <w:rFonts w:hint="eastAsia" w:ascii="仿宋_GB2312" w:hAnsi="仿宋_GB2312" w:eastAsia="仿宋_GB2312" w:cs="仿宋_GB2312"/>
          <w:color w:val="444444"/>
          <w:sz w:val="32"/>
          <w:szCs w:val="32"/>
          <w:shd w:val="clear" w:color="auto" w:fill="FFFFFF"/>
        </w:rPr>
        <w:t>三、资产管理情况</w:t>
      </w:r>
    </w:p>
    <w:p>
      <w:pPr>
        <w:pStyle w:val="3"/>
        <w:widowControl/>
        <w:snapToGrid w:val="0"/>
        <w:spacing w:beforeAutospacing="0" w:afterAutospacing="0" w:line="312" w:lineRule="auto"/>
        <w:ind w:firstLine="420"/>
        <w:rPr>
          <w:rFonts w:ascii="仿宋_GB2312" w:hAnsi="仿宋_GB2312" w:eastAsia="仿宋_GB2312" w:cs="仿宋_GB2312"/>
          <w:sz w:val="32"/>
          <w:szCs w:val="32"/>
        </w:rPr>
      </w:pPr>
      <w:r>
        <w:rPr>
          <w:rFonts w:hint="eastAsia" w:ascii="仿宋_GB2312" w:hAnsi="仿宋_GB2312" w:eastAsia="仿宋_GB2312" w:cs="仿宋_GB2312"/>
          <w:color w:val="444444"/>
          <w:sz w:val="32"/>
          <w:szCs w:val="32"/>
          <w:shd w:val="clear" w:color="auto" w:fill="FFFFFF"/>
        </w:rPr>
        <w:t>截至2019年12月31日 ，我部门资产总额为1390.56万元，主要由以下三部分构成：流动资产444.05万元，占资产总额的31.93%，主要为银行存款、财政应该返还额度及其他应收款；固定资产净值681.38万元，占资产总额的49%，主要包括房屋、公务用车、办公设备等。对于资产的管理，我们的做法是：一是建立健全资产使用监督管理制度，合理配备并节约、有效使用资产，提高资产使用效率，保障资产的安全和完整。管理和使用应坚持统一政策、统一领导、分级管理、责任到人、物尽其用的原则；资产管理由财务部门进行价值核算并设置专人进行资产实物卡片管理及使用情况监督；办公设备由办公室设置专人进行实物卡片管理及使用情况监督。二是加强运用信息技术进行资产管理。以计算机等现代化工具加强对资产的监控，把单位的资产管理与财务管理、资产价值管理和实物管理结合起来，及时反映单位的资金动作、资产存量和变量情况，实现由静</w:t>
      </w:r>
      <w:r>
        <w:rPr>
          <w:rFonts w:hint="eastAsia" w:ascii="仿宋_GB2312" w:hAnsi="仿宋_GB2312" w:eastAsia="仿宋_GB2312" w:cs="仿宋_GB2312"/>
          <w:color w:val="444444"/>
          <w:sz w:val="32"/>
          <w:szCs w:val="32"/>
          <w:shd w:val="clear" w:color="auto" w:fill="FFFFFF"/>
          <w:lang w:val="en-US" w:eastAsia="zh-CN"/>
        </w:rPr>
        <w:t>默</w:t>
      </w:r>
      <w:r>
        <w:rPr>
          <w:rFonts w:hint="eastAsia" w:ascii="仿宋_GB2312" w:hAnsi="仿宋_GB2312" w:eastAsia="仿宋_GB2312" w:cs="仿宋_GB2312"/>
          <w:color w:val="444444"/>
          <w:sz w:val="32"/>
          <w:szCs w:val="32"/>
          <w:shd w:val="clear" w:color="auto" w:fill="FFFFFF"/>
        </w:rPr>
        <w:t>管理向动态管理的转变，真正发挥存量资产的效能。三是每年组织一次固定资产资产清查工作，使固定资产检查经常化，更好的从源头对固定资产变动情况进行监控。</w:t>
      </w:r>
    </w:p>
    <w:p>
      <w:pPr>
        <w:pStyle w:val="3"/>
        <w:widowControl/>
        <w:snapToGrid w:val="0"/>
        <w:spacing w:beforeAutospacing="0" w:afterAutospacing="0" w:line="312" w:lineRule="auto"/>
        <w:ind w:firstLine="420"/>
        <w:rPr>
          <w:rFonts w:ascii="仿宋_GB2312" w:hAnsi="仿宋_GB2312" w:eastAsia="仿宋_GB2312" w:cs="仿宋_GB2312"/>
          <w:sz w:val="32"/>
          <w:szCs w:val="32"/>
        </w:rPr>
      </w:pPr>
      <w:r>
        <w:rPr>
          <w:rFonts w:hint="eastAsia" w:ascii="仿宋_GB2312" w:hAnsi="仿宋_GB2312" w:eastAsia="仿宋_GB2312" w:cs="仿宋_GB2312"/>
          <w:color w:val="444444"/>
          <w:sz w:val="32"/>
          <w:szCs w:val="32"/>
          <w:shd w:val="clear" w:color="auto" w:fill="FFFFFF"/>
        </w:rPr>
        <w:t>五、2019工作成效</w:t>
      </w:r>
    </w:p>
    <w:p>
      <w:pPr>
        <w:snapToGrid w:val="0"/>
        <w:spacing w:line="540" w:lineRule="exact"/>
        <w:ind w:left="420" w:left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积极实施公共文化服务标准化均等化建设</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图书馆不断提高服务水平，逐步完善各功能室的设备采购，新图书馆配备智能化自助借阅、自助办证、移动数字化借阅等设施设备，是一个拥有图书借阅室、报刊阅览室、少儿借阅室等14个功能室的现代化图书馆。</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2、不断拓宽服务领域，开展全民阅读活动 </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举办了迎新春阅读推广系列活动。联合国家数字图书馆推广工程组织开展了“我们的中国梦”——公共数字文化进万家系列活动：“今昔巨变·辉煌见证”新老照片征集、“吉语贺岁•好书传情”电子有声贺卡、“书香博闻•欢启归程”在线趣味答题、“听赏群书.喜迎岁除”线下主题展览等活动；举行了“春节有奖知识猜谜”活动，吸引了近4千人参与；开展了“新春悦读有礼”活动等。 </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（2）举办“4·23世界读书日 ”系列活动</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是第24个“世界读书日”，我馆根据中图学会《关于联合开展2019年4.23全民阅读活动的通知》要求，以“世界读书日”为契机，以“书香寻乌”为主题，发挥自身优势，继续深入开展了多种形式的全民阅读推广活动。同城共读·品味书香 —寻乌县第五届“我最喜爱的文章”诵读比赛、“万卷共知— 线上阅读竞答活动”、“好书互换 阅读分享”活动、“你看书、我买单”活动、“扫码看书，百城共读”数字阅读推广活动、“公共图书馆服务宣传周”系列活动、“爱国主义教育影片”等电影展播活动、“我的书屋，我的梦”农村少年儿童阅读实践活动。</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3、积极参加国家及省、市级培训。组织人员参加国家及省、市级各类培训班，拓宽了队伍视野，提升了队伍技能，整体提高文化队伍综合素质。</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4、加大文艺作品宣传推广、文艺精品创作力度。</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（1）开展“不忘初心、牢记使命”主题教育等宣传文艺演出，送戏下乡村演出近200场。成功举办“我和我的祖国”千人升旗仪式，以载歌载舞的方式向祖国致敬。</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深入开展采茶戏进校园工作，分别在城关小学、城北新区小学成立采茶戏学习小分队，团里派出多名老师在每周四下午前去授课，学习时长为一个学期，学习内容有采茶唱腔、采茶基本功及一些简单的表演。为更好的传承和推广、促进赣南采茶戏的繁荣发展，举办一台精彩的适合少年儿童审美和观看的采茶节目，在学校开展采茶进校园专场文艺演出。</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采茶戏《寻路》:今年已赴深圳龙岗、福建上杭巡演。省文化和旅游厅已组织国家级专家审看，对该剧给予了高度评价，并被列为江西省文化艺术基金2018-2019年度传播交流推广项目，根据批准的巡演方案，将得到省文化艺术基金资助。国庆期间参加文旅厅主办的江西省玉茗花戏剧节，荣获优秀剧目奖、优秀音乐奖（每个奖项及四个剧目获奖）。创排了采茶舞蹈《一师一生》参加市舞蹈大赛。</w:t>
      </w:r>
    </w:p>
    <w:p>
      <w:pPr>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5、开展了系列群众文化活动</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（1）开展了系列活动。举办了寻乌县第八届少儿艺术节暨第二届网络少儿春晚选拔赛、“客家老俵春晚”2019年寻乌县第五届春节联欢晚会、“百姓大舞台 大家一起来”2019年寻乌县春节文化惠民演出2场、广场舞大赛4场、“</w:t>
      </w:r>
      <w:r>
        <w:rPr>
          <w:rFonts w:hint="eastAsia" w:ascii="仿宋_GB2312" w:hAnsi="仿宋_GB2312" w:eastAsia="仿宋_GB2312" w:cs="仿宋_GB2312"/>
          <w:sz w:val="32"/>
          <w:szCs w:val="32"/>
          <w:lang w:val="en-US" w:eastAsia="zh-CN"/>
        </w:rPr>
        <w:t>庆祝</w:t>
      </w:r>
      <w:r>
        <w:rPr>
          <w:rFonts w:hint="eastAsia" w:ascii="仿宋_GB2312" w:hAnsi="仿宋_GB2312" w:eastAsia="仿宋_GB2312" w:cs="仿宋_GB2312"/>
          <w:sz w:val="32"/>
          <w:szCs w:val="32"/>
        </w:rPr>
        <w:t>建党98周年·喜迎</w:t>
      </w:r>
      <w:r>
        <w:rPr>
          <w:rFonts w:hint="eastAsia" w:ascii="仿宋_GB2312" w:hAnsi="仿宋_GB2312" w:eastAsia="仿宋_GB2312" w:cs="仿宋_GB2312"/>
          <w:sz w:val="32"/>
          <w:szCs w:val="32"/>
          <w:lang w:val="en-US" w:eastAsia="zh-CN"/>
        </w:rPr>
        <w:t>新中国成立</w:t>
      </w:r>
      <w:r>
        <w:rPr>
          <w:rFonts w:hint="eastAsia" w:ascii="仿宋_GB2312" w:hAnsi="仿宋_GB2312" w:eastAsia="仿宋_GB2312" w:cs="仿宋_GB2312"/>
          <w:sz w:val="32"/>
          <w:szCs w:val="32"/>
        </w:rPr>
        <w:t>70周年”歌咏大赛、组织举办了由县委、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政府主办的“壮丽70年·奋斗新时代”大型国庆文艺晚会、“我和祖国共成长”--寻乌县第五届青少年现场书画大赛、辉煌70年——广场舞大赛（寻乌赛区）等群众喜闻乐见的活动。</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举办了系列展览。举办了“改革开放40周年”首届书法临帖展、“童画杯”第四届少儿书画优秀作品展、“木马美术杯”儿童节画展、“结伴同行·红色寻乌油画展”、闽粤赣边三县（武平、平远、寻乌）“客风 艺韵”书画摄影作品联展，“光辉70年·奋斗新时代”赣南六县美术书法摄影及文创产品联展在寻乌开幕，给群众提供了更多的文化活动。</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组织参加各类文艺大赛。积极组织文艺作品和队伍参加上级文化部门组织的各类赛事及文化活动，如：全省少儿艺术节，省、市少儿故事大赛，省、市广场舞大赛，赣州市文化惠民周活动，全市广场舞快闪等活动。 </w:t>
      </w:r>
    </w:p>
    <w:p>
      <w:pPr>
        <w:snapToGrid w:val="0"/>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6、做好非物质文化遗产项目名录申报及宣传保护工作。</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（1）完成了我县非遗项目《客家迎故事》申报第五批国家级非物质文化遗产代表性项目名录的工作,正在积极完善整理第五批市级非物质文化遗产代表性项目名录申报工作。</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文化和自然遗产日”开展了非遗进校园宣传，把县非遗项目采茶戏、汉剧、寻乌山歌请进校园，旨在让学生在感知、体验中了解本地的历史文化，激发爱国爱家乡的热情，在传统民间文化的滋养中，培养对传统民间文化的兴趣，突出民俗，突出地方特色，突出原生态，活态展示非物质文化遗产保护传承最新成果，让广大师生在不同文化元素的融汇、交流中，真切感受到非遗之美。</w:t>
      </w:r>
    </w:p>
    <w:p>
      <w:pPr>
        <w:snapToGrid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（3）举办具有特色的、专题的非遗展览展演展示活动，开展活态传承活动，定期在各传习所举办传承人培训活动，对加大非物质文化遗产保护力度，鼓励支持非物质文化遗产代表性传承人开展传习活动。</w:t>
      </w:r>
    </w:p>
    <w:p>
      <w:pPr>
        <w:pStyle w:val="3"/>
        <w:widowControl/>
        <w:snapToGrid w:val="0"/>
        <w:spacing w:beforeAutospacing="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444444"/>
          <w:sz w:val="32"/>
          <w:szCs w:val="32"/>
          <w:shd w:val="clear" w:color="auto" w:fill="FFFFFF"/>
        </w:rPr>
        <w:t>六、综合评价情况及评价结论</w:t>
      </w:r>
    </w:p>
    <w:p>
      <w:pPr>
        <w:pStyle w:val="3"/>
        <w:widowControl/>
        <w:snapToGrid w:val="0"/>
        <w:spacing w:beforeAutospacing="0" w:afterAutospacing="0" w:line="480" w:lineRule="atLeast"/>
        <w:ind w:firstLine="640" w:firstLineChars="200"/>
        <w:rPr>
          <w:rFonts w:ascii="仿宋_GB2312" w:hAnsi="仿宋_GB2312" w:eastAsia="仿宋_GB2312" w:cs="仿宋_GB2312"/>
          <w:sz w:val="28"/>
          <w:szCs w:val="28"/>
        </w:rPr>
      </w:pPr>
      <w:r>
        <w:rPr>
          <w:rFonts w:hint="eastAsia" w:ascii="仿宋_GB2312" w:hAnsi="仿宋_GB2312" w:eastAsia="仿宋_GB2312" w:cs="仿宋_GB2312"/>
          <w:color w:val="444444"/>
          <w:sz w:val="32"/>
          <w:szCs w:val="32"/>
          <w:shd w:val="clear" w:color="auto" w:fill="FFFFFF"/>
        </w:rPr>
        <w:t>本次自评得分98分，自评结果为优秀。从自查结果来看，专项资金主管部门年初有预算，预算有明细内容；资金拨付有完整的审批程序和手续；项目基本按计划完成，项目建设质量较好，项目总体运行良好。在自查中，没有发现截留、挤占、挪用、虚列支出等情况</w:t>
      </w:r>
      <w:r>
        <w:rPr>
          <w:rFonts w:hint="eastAsia" w:ascii="仿宋_GB2312" w:hAnsi="仿宋_GB2312" w:eastAsia="仿宋_GB2312" w:cs="仿宋_GB2312"/>
          <w:color w:val="444444"/>
          <w:sz w:val="28"/>
          <w:szCs w:val="28"/>
          <w:shd w:val="clear" w:color="auto" w:fill="FFFFFF"/>
        </w:rPr>
        <w:t>。</w:t>
      </w:r>
    </w:p>
    <w:p>
      <w:pPr>
        <w:pStyle w:val="3"/>
        <w:widowControl/>
        <w:snapToGrid w:val="0"/>
        <w:spacing w:beforeAutospacing="0" w:afterAutospacing="0" w:line="480"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444444"/>
          <w:sz w:val="32"/>
          <w:szCs w:val="32"/>
          <w:shd w:val="clear" w:color="auto" w:fill="FFFFFF"/>
        </w:rPr>
        <w:t>七、部门整体支出主要绩效</w:t>
      </w:r>
    </w:p>
    <w:p>
      <w:pPr>
        <w:pStyle w:val="3"/>
        <w:widowControl/>
        <w:snapToGrid w:val="0"/>
        <w:spacing w:beforeAutospacing="0" w:afterAutospacing="0" w:line="480" w:lineRule="atLeast"/>
        <w:ind w:firstLine="640" w:firstLineChars="200"/>
        <w:rPr>
          <w:rFonts w:ascii="仿宋_GB2312" w:hAnsi="仿宋_GB2312" w:eastAsia="仿宋_GB2312" w:cs="仿宋_GB2312"/>
          <w:color w:val="444444"/>
          <w:sz w:val="32"/>
          <w:szCs w:val="32"/>
          <w:shd w:val="clear" w:color="auto" w:fill="FFFFFF"/>
        </w:rPr>
      </w:pPr>
      <w:r>
        <w:rPr>
          <w:rFonts w:hint="eastAsia" w:ascii="仿宋_GB2312" w:hAnsi="仿宋_GB2312" w:eastAsia="仿宋_GB2312" w:cs="仿宋_GB2312"/>
          <w:bCs/>
          <w:sz w:val="32"/>
          <w:szCs w:val="32"/>
        </w:rPr>
        <w:t>1、公共文化服务标准化均等化建设进一步加强；2、</w:t>
      </w:r>
      <w:r>
        <w:rPr>
          <w:rFonts w:hint="eastAsia" w:ascii="仿宋_GB2312" w:hAnsi="仿宋_GB2312" w:eastAsia="仿宋_GB2312" w:cs="仿宋_GB2312"/>
          <w:sz w:val="32"/>
          <w:szCs w:val="32"/>
        </w:rPr>
        <w:t>不断拓宽服务领域，开展全民阅读活动；3、加大文艺作品宣传推广、文艺精品创作力度；4、积极参加国家及省、市级培训，拓宽了文化人才队伍视野，整体提高文化队伍综合素质；</w:t>
      </w:r>
      <w:r>
        <w:rPr>
          <w:rFonts w:hint="eastAsia" w:ascii="仿宋_GB2312" w:hAnsi="仿宋_GB2312" w:eastAsia="仿宋_GB2312" w:cs="仿宋_GB2312"/>
          <w:bCs/>
          <w:sz w:val="32"/>
          <w:szCs w:val="32"/>
        </w:rPr>
        <w:t>5、开展了系列群众文化活动；6、积极做好非物质文化遗产项目名录申报及宣传保护工作。</w:t>
      </w:r>
    </w:p>
    <w:p>
      <w:pPr>
        <w:pStyle w:val="3"/>
        <w:widowControl/>
        <w:snapToGrid w:val="0"/>
        <w:spacing w:beforeAutospacing="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八、存在的问题</w:t>
      </w:r>
    </w:p>
    <w:p>
      <w:pPr>
        <w:pStyle w:val="3"/>
        <w:widowControl/>
        <w:snapToGrid w:val="0"/>
        <w:spacing w:beforeAutospacing="0" w:afterAutospacing="0" w:line="480" w:lineRule="atLeast"/>
        <w:ind w:firstLine="640" w:firstLineChars="200"/>
        <w:rPr>
          <w:rFonts w:ascii="仿宋_GB2312" w:hAnsi="仿宋_GB2312" w:eastAsia="仿宋_GB2312" w:cs="仿宋_GB2312"/>
          <w:sz w:val="28"/>
          <w:szCs w:val="28"/>
        </w:rPr>
      </w:pPr>
      <w:r>
        <w:rPr>
          <w:rFonts w:hint="eastAsia" w:ascii="仿宋_GB2312" w:hAnsi="仿宋_GB2312" w:eastAsia="仿宋_GB2312" w:cs="仿宋_GB2312"/>
          <w:sz w:val="32"/>
          <w:szCs w:val="32"/>
          <w:shd w:val="clear" w:color="auto" w:fill="FFFFFF"/>
        </w:rPr>
        <w:t>无</w:t>
      </w:r>
      <w:r>
        <w:rPr>
          <w:rFonts w:hint="eastAsia" w:ascii="仿宋_GB2312" w:hAnsi="仿宋_GB2312" w:eastAsia="仿宋_GB2312" w:cs="仿宋_GB2312"/>
          <w:color w:val="444444"/>
          <w:sz w:val="28"/>
          <w:szCs w:val="28"/>
          <w:shd w:val="clear" w:color="auto" w:fill="FFFFFF"/>
        </w:rPr>
        <w:t> </w:t>
      </w:r>
    </w:p>
    <w:p>
      <w:pPr>
        <w:snapToGrid w:val="0"/>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MGJiZjk0YWRlZjBiZGI1YTE3NGNhNGEzNTEzYTIifQ=="/>
  </w:docVars>
  <w:rsids>
    <w:rsidRoot w:val="73560216"/>
    <w:rsid w:val="00AD4768"/>
    <w:rsid w:val="00CA5D70"/>
    <w:rsid w:val="047002DE"/>
    <w:rsid w:val="04E0194D"/>
    <w:rsid w:val="08B06427"/>
    <w:rsid w:val="0A140640"/>
    <w:rsid w:val="0B452330"/>
    <w:rsid w:val="0FCB4BF6"/>
    <w:rsid w:val="10397074"/>
    <w:rsid w:val="11C43D26"/>
    <w:rsid w:val="144606D0"/>
    <w:rsid w:val="15513471"/>
    <w:rsid w:val="1A753F6A"/>
    <w:rsid w:val="1CA40D25"/>
    <w:rsid w:val="1FE17520"/>
    <w:rsid w:val="202A243A"/>
    <w:rsid w:val="232F23C6"/>
    <w:rsid w:val="24757638"/>
    <w:rsid w:val="26DF156D"/>
    <w:rsid w:val="2BD32687"/>
    <w:rsid w:val="2C421A59"/>
    <w:rsid w:val="2E1B63A4"/>
    <w:rsid w:val="306454F6"/>
    <w:rsid w:val="31D83FE0"/>
    <w:rsid w:val="32035F21"/>
    <w:rsid w:val="33CD188F"/>
    <w:rsid w:val="340A70DF"/>
    <w:rsid w:val="352E1B7F"/>
    <w:rsid w:val="3A8C1C42"/>
    <w:rsid w:val="3BA75587"/>
    <w:rsid w:val="3CA5558B"/>
    <w:rsid w:val="416F5254"/>
    <w:rsid w:val="42846463"/>
    <w:rsid w:val="44A27EBD"/>
    <w:rsid w:val="49B117C6"/>
    <w:rsid w:val="4CA06727"/>
    <w:rsid w:val="4D9942CA"/>
    <w:rsid w:val="4DC1220F"/>
    <w:rsid w:val="4E9E45FF"/>
    <w:rsid w:val="50E2722A"/>
    <w:rsid w:val="55460715"/>
    <w:rsid w:val="5554137D"/>
    <w:rsid w:val="57105B21"/>
    <w:rsid w:val="58A400F4"/>
    <w:rsid w:val="59867C89"/>
    <w:rsid w:val="5A503D5D"/>
    <w:rsid w:val="5A5B21AC"/>
    <w:rsid w:val="5BA76B69"/>
    <w:rsid w:val="5C3A7F99"/>
    <w:rsid w:val="5D5A65B6"/>
    <w:rsid w:val="5FF80625"/>
    <w:rsid w:val="65F525A9"/>
    <w:rsid w:val="6ADE4233"/>
    <w:rsid w:val="6E1B7F00"/>
    <w:rsid w:val="70926CEA"/>
    <w:rsid w:val="71496E58"/>
    <w:rsid w:val="73560216"/>
    <w:rsid w:val="748A7573"/>
    <w:rsid w:val="79D410C3"/>
    <w:rsid w:val="7A0C6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3490</Words>
  <Characters>3645</Characters>
  <Lines>1</Lines>
  <Paragraphs>7</Paragraphs>
  <TotalTime>5</TotalTime>
  <ScaleCrop>false</ScaleCrop>
  <LinksUpToDate>false</LinksUpToDate>
  <CharactersWithSpaces>3660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2020-08-28T01:26:00Z</dcterms:created>
  <dc:creator>Administrator</dc:creator>
  <cp:lastModifiedBy>Administrator</cp:lastModifiedBy>
  <dcterms:modified xsi:type="dcterms:W3CDTF">2022-10-26T07:06:28Z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D2477CD43AED48C7A1826F86FB201898</vt:lpwstr>
  </property>
</Properties>
</file>