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寻乌</w:t>
      </w:r>
      <w:r>
        <w:rPr>
          <w:rFonts w:hint="eastAsia" w:ascii="方正小标宋简体" w:hAnsi="方正小标宋简体" w:eastAsia="方正小标宋简体" w:cs="方正小标宋简体"/>
          <w:sz w:val="44"/>
          <w:szCs w:val="44"/>
        </w:rPr>
        <w:t>县</w:t>
      </w:r>
      <w:r>
        <w:rPr>
          <w:rFonts w:hint="eastAsia" w:ascii="方正小标宋简体" w:hAnsi="方正小标宋简体" w:eastAsia="方正小标宋简体" w:cs="方正小标宋简体"/>
          <w:sz w:val="44"/>
          <w:szCs w:val="44"/>
          <w:lang w:eastAsia="zh-CN"/>
        </w:rPr>
        <w:t>社保</w:t>
      </w:r>
      <w:r>
        <w:rPr>
          <w:rFonts w:hint="eastAsia" w:ascii="方正小标宋简体" w:hAnsi="方正小标宋简体" w:eastAsia="方正小标宋简体" w:cs="方正小标宋简体"/>
          <w:sz w:val="44"/>
          <w:szCs w:val="44"/>
        </w:rPr>
        <w:t>局</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部门整体支出绩效自评报告</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一、部门概况</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（一）部门基本情况</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b/>
          <w:bCs/>
          <w:sz w:val="32"/>
          <w:szCs w:val="32"/>
        </w:rPr>
      </w:pPr>
      <w:r>
        <w:rPr>
          <w:rFonts w:hint="eastAsia" w:ascii="仿宋" w:hAnsi="仿宋" w:eastAsia="仿宋"/>
          <w:b/>
          <w:bCs/>
          <w:sz w:val="32"/>
          <w:szCs w:val="32"/>
        </w:rPr>
        <w:t>1.部门组织机构及人员</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2019年</w:t>
      </w:r>
      <w:r>
        <w:rPr>
          <w:rFonts w:hint="eastAsia" w:ascii="仿宋" w:hAnsi="仿宋" w:eastAsia="仿宋" w:cs="仿宋_GB2312"/>
          <w:sz w:val="32"/>
          <w:szCs w:val="32"/>
          <w:lang w:eastAsia="zh-CN"/>
        </w:rPr>
        <w:t>县社保局核定编制数</w:t>
      </w:r>
      <w:r>
        <w:rPr>
          <w:rFonts w:hint="eastAsia" w:ascii="仿宋" w:hAnsi="仿宋" w:eastAsia="仿宋" w:cs="仿宋_GB2312"/>
          <w:sz w:val="32"/>
          <w:szCs w:val="32"/>
          <w:lang w:val="en-US" w:eastAsia="zh-CN"/>
        </w:rPr>
        <w:t>16</w:t>
      </w:r>
      <w:r>
        <w:rPr>
          <w:rFonts w:hint="eastAsia" w:ascii="仿宋" w:hAnsi="仿宋" w:eastAsia="仿宋" w:cs="仿宋_GB2312"/>
          <w:sz w:val="32"/>
          <w:szCs w:val="32"/>
          <w:lang w:eastAsia="zh-CN"/>
        </w:rPr>
        <w:t>人，其中：全部补助事业编制人数15人；实有人数</w:t>
      </w:r>
      <w:r>
        <w:rPr>
          <w:rFonts w:hint="eastAsia" w:ascii="仿宋" w:hAnsi="仿宋" w:eastAsia="仿宋" w:cs="仿宋_GB2312"/>
          <w:sz w:val="32"/>
          <w:szCs w:val="32"/>
          <w:lang w:val="en-US" w:eastAsia="zh-CN"/>
        </w:rPr>
        <w:t>25</w:t>
      </w:r>
      <w:r>
        <w:rPr>
          <w:rFonts w:hint="eastAsia" w:ascii="仿宋" w:hAnsi="仿宋" w:eastAsia="仿宋" w:cs="仿宋_GB2312"/>
          <w:sz w:val="32"/>
          <w:szCs w:val="32"/>
          <w:lang w:eastAsia="zh-CN"/>
        </w:rPr>
        <w:t>人，其中：在职人数</w:t>
      </w:r>
      <w:r>
        <w:rPr>
          <w:rFonts w:hint="eastAsia" w:ascii="仿宋" w:hAnsi="仿宋" w:eastAsia="仿宋" w:cs="仿宋_GB2312"/>
          <w:sz w:val="32"/>
          <w:szCs w:val="32"/>
          <w:lang w:val="en-US" w:eastAsia="zh-CN"/>
        </w:rPr>
        <w:t>25</w:t>
      </w:r>
      <w:r>
        <w:rPr>
          <w:rFonts w:hint="eastAsia" w:ascii="仿宋" w:hAnsi="仿宋" w:eastAsia="仿宋" w:cs="仿宋_GB2312"/>
          <w:sz w:val="32"/>
          <w:szCs w:val="32"/>
          <w:lang w:eastAsia="zh-CN"/>
        </w:rPr>
        <w:t>人，包括全部补助事业人员1</w:t>
      </w:r>
      <w:r>
        <w:rPr>
          <w:rFonts w:hint="eastAsia" w:ascii="仿宋" w:hAnsi="仿宋" w:eastAsia="仿宋" w:cs="仿宋_GB2312"/>
          <w:sz w:val="32"/>
          <w:szCs w:val="32"/>
          <w:lang w:val="en-US" w:eastAsia="zh-CN"/>
        </w:rPr>
        <w:t>5</w:t>
      </w:r>
      <w:r>
        <w:rPr>
          <w:rFonts w:hint="eastAsia" w:ascii="仿宋" w:hAnsi="仿宋" w:eastAsia="仿宋" w:cs="仿宋_GB2312"/>
          <w:sz w:val="32"/>
          <w:szCs w:val="32"/>
          <w:lang w:eastAsia="zh-CN"/>
        </w:rPr>
        <w:t>人，临聘人员</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人，见习人员</w:t>
      </w:r>
      <w:r>
        <w:rPr>
          <w:rFonts w:hint="eastAsia" w:ascii="仿宋" w:hAnsi="仿宋" w:eastAsia="仿宋" w:cs="仿宋_GB2312"/>
          <w:sz w:val="32"/>
          <w:szCs w:val="32"/>
          <w:lang w:val="en-US" w:eastAsia="zh-CN"/>
        </w:rPr>
        <w:t>6人</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b/>
          <w:bCs/>
          <w:sz w:val="32"/>
          <w:szCs w:val="32"/>
        </w:rPr>
      </w:pPr>
      <w:r>
        <w:rPr>
          <w:rFonts w:hint="eastAsia" w:ascii="仿宋" w:hAnsi="仿宋" w:eastAsia="仿宋"/>
          <w:b/>
          <w:bCs/>
          <w:sz w:val="32"/>
          <w:szCs w:val="32"/>
        </w:rPr>
        <w:t>2.部门职能概述</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_GB2312"/>
          <w:sz w:val="32"/>
          <w:szCs w:val="32"/>
          <w:lang w:eastAsia="zh-CN"/>
        </w:rPr>
      </w:pPr>
      <w:r>
        <w:rPr>
          <w:rFonts w:hint="eastAsia" w:ascii="仿宋" w:hAnsi="仿宋" w:eastAsia="仿宋" w:cs="仿宋_GB2312"/>
          <w:b/>
          <w:bCs/>
          <w:sz w:val="32"/>
          <w:szCs w:val="32"/>
          <w:lang w:eastAsia="zh-CN"/>
        </w:rPr>
        <w:t>一是</w:t>
      </w:r>
      <w:r>
        <w:rPr>
          <w:rFonts w:hint="eastAsia" w:ascii="仿宋" w:hAnsi="仿宋" w:eastAsia="仿宋" w:cs="仿宋_GB2312"/>
          <w:sz w:val="32"/>
          <w:szCs w:val="32"/>
          <w:lang w:eastAsia="zh-CN"/>
        </w:rPr>
        <w:t>宣传、贯彻、落实党和政府有关养老保险的路线、方针和政策；依据有关社会保险法律、法规和政策，开展全县社会养老保险业务的组织实施和管理工作；</w:t>
      </w:r>
      <w:r>
        <w:rPr>
          <w:rFonts w:hint="eastAsia" w:ascii="仿宋" w:hAnsi="仿宋" w:eastAsia="仿宋" w:cs="仿宋_GB2312"/>
          <w:b/>
          <w:bCs/>
          <w:sz w:val="32"/>
          <w:szCs w:val="32"/>
          <w:lang w:eastAsia="zh-CN"/>
        </w:rPr>
        <w:t>二是</w:t>
      </w:r>
      <w:r>
        <w:rPr>
          <w:rFonts w:hint="eastAsia" w:ascii="仿宋" w:hAnsi="仿宋" w:eastAsia="仿宋" w:cs="仿宋_GB2312"/>
          <w:sz w:val="32"/>
          <w:szCs w:val="32"/>
          <w:lang w:eastAsia="zh-CN"/>
        </w:rPr>
        <w:t>具体承办全县机关、企事业单位及个体工商户、村（居）委会干部、被征地农民等养老保险业务及机关事业单位职业年金业务；</w:t>
      </w:r>
      <w:r>
        <w:rPr>
          <w:rFonts w:hint="eastAsia" w:ascii="仿宋" w:hAnsi="仿宋" w:eastAsia="仿宋" w:cs="仿宋_GB2312"/>
          <w:b/>
          <w:bCs/>
          <w:sz w:val="32"/>
          <w:szCs w:val="32"/>
          <w:lang w:eastAsia="zh-CN"/>
        </w:rPr>
        <w:t>三是</w:t>
      </w:r>
      <w:r>
        <w:rPr>
          <w:rFonts w:hint="eastAsia" w:ascii="仿宋" w:hAnsi="仿宋" w:eastAsia="仿宋" w:cs="仿宋_GB2312"/>
          <w:sz w:val="32"/>
          <w:szCs w:val="32"/>
          <w:lang w:eastAsia="zh-CN"/>
        </w:rPr>
        <w:t>负责全县企业基本养老保险基金征缴和参保单位欠缴养老保险费的清理和回收；</w:t>
      </w:r>
      <w:r>
        <w:rPr>
          <w:rFonts w:hint="eastAsia" w:ascii="仿宋" w:hAnsi="仿宋" w:eastAsia="仿宋" w:cs="仿宋_GB2312"/>
          <w:b/>
          <w:bCs/>
          <w:sz w:val="32"/>
          <w:szCs w:val="32"/>
          <w:lang w:eastAsia="zh-CN"/>
        </w:rPr>
        <w:t>四是</w:t>
      </w:r>
      <w:r>
        <w:rPr>
          <w:rFonts w:hint="eastAsia" w:ascii="仿宋" w:hAnsi="仿宋" w:eastAsia="仿宋" w:cs="仿宋_GB2312"/>
          <w:sz w:val="32"/>
          <w:szCs w:val="32"/>
          <w:lang w:eastAsia="zh-CN"/>
        </w:rPr>
        <w:t>负责全县参保离退休人员养老金待遇标准审核、支付；负责全县参保离退休人员养老金社会化发放工作，指导和组织实施全县街道、社区养老保险社会化管理服务网络建设；</w:t>
      </w:r>
      <w:r>
        <w:rPr>
          <w:rFonts w:hint="eastAsia" w:ascii="仿宋" w:hAnsi="仿宋" w:eastAsia="仿宋" w:cs="仿宋_GB2312"/>
          <w:b/>
          <w:bCs/>
          <w:sz w:val="32"/>
          <w:szCs w:val="32"/>
          <w:lang w:eastAsia="zh-CN"/>
        </w:rPr>
        <w:t>五是</w:t>
      </w:r>
      <w:r>
        <w:rPr>
          <w:rFonts w:hint="eastAsia" w:ascii="仿宋" w:hAnsi="仿宋" w:eastAsia="仿宋" w:cs="仿宋_GB2312"/>
          <w:sz w:val="32"/>
          <w:szCs w:val="32"/>
          <w:lang w:eastAsia="zh-CN"/>
        </w:rPr>
        <w:t>负责全县养老保险基金管理；养老保险基金年度收支预决算及其调整方案的编制、汇总和上报；负责全县养老保险会计报表的编制、汇总、分析和上报工作；负责全县养老保险基金缺口的预测和执行养老保险基金预警制度。</w:t>
      </w:r>
      <w:r>
        <w:rPr>
          <w:rFonts w:hint="eastAsia" w:ascii="仿宋" w:hAnsi="仿宋" w:eastAsia="仿宋" w:cs="仿宋_GB2312"/>
          <w:b/>
          <w:bCs/>
          <w:sz w:val="32"/>
          <w:szCs w:val="32"/>
          <w:lang w:eastAsia="zh-CN"/>
        </w:rPr>
        <w:t>六是</w:t>
      </w:r>
      <w:r>
        <w:rPr>
          <w:rFonts w:hint="eastAsia" w:ascii="仿宋" w:hAnsi="仿宋" w:eastAsia="仿宋" w:cs="仿宋_GB2312"/>
          <w:sz w:val="32"/>
          <w:szCs w:val="32"/>
          <w:lang w:eastAsia="zh-CN"/>
        </w:rPr>
        <w:t>稽核用人单位缴纳养老保险费情况和离退休人员养老金的领取资格。</w:t>
      </w:r>
      <w:r>
        <w:rPr>
          <w:rFonts w:hint="eastAsia" w:ascii="仿宋" w:hAnsi="仿宋" w:eastAsia="仿宋" w:cs="仿宋_GB2312"/>
          <w:b/>
          <w:bCs/>
          <w:sz w:val="32"/>
          <w:szCs w:val="32"/>
          <w:lang w:eastAsia="zh-CN"/>
        </w:rPr>
        <w:t>七是</w:t>
      </w:r>
      <w:r>
        <w:rPr>
          <w:rFonts w:hint="eastAsia" w:ascii="仿宋" w:hAnsi="仿宋" w:eastAsia="仿宋" w:cs="仿宋_GB2312"/>
          <w:sz w:val="32"/>
          <w:szCs w:val="32"/>
          <w:lang w:eastAsia="zh-CN"/>
        </w:rPr>
        <w:t>负责全县有关养老保险方面的来信来访的督办和查处工作。</w:t>
      </w:r>
      <w:r>
        <w:rPr>
          <w:rFonts w:hint="eastAsia" w:ascii="仿宋" w:hAnsi="仿宋" w:eastAsia="仿宋" w:cs="仿宋_GB2312"/>
          <w:b/>
          <w:bCs/>
          <w:sz w:val="32"/>
          <w:szCs w:val="32"/>
          <w:lang w:eastAsia="zh-CN"/>
        </w:rPr>
        <w:t>八是</w:t>
      </w:r>
      <w:r>
        <w:rPr>
          <w:rFonts w:hint="eastAsia" w:ascii="仿宋" w:hAnsi="仿宋" w:eastAsia="仿宋" w:cs="仿宋_GB2312"/>
          <w:sz w:val="32"/>
          <w:szCs w:val="32"/>
          <w:lang w:eastAsia="zh-CN"/>
        </w:rPr>
        <w:t>负责全县养老保险信息系统的建设、运行、维护和安全管理工作；负责全县养老保险统计报表的编制、汇总、分析和上报工作。</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楷体"/>
          <w:b/>
          <w:bCs/>
          <w:sz w:val="32"/>
          <w:szCs w:val="32"/>
        </w:rPr>
      </w:pPr>
      <w:r>
        <w:rPr>
          <w:rFonts w:hint="eastAsia" w:ascii="仿宋" w:hAnsi="仿宋" w:eastAsia="仿宋" w:cs="楷体"/>
          <w:b/>
          <w:bCs/>
          <w:sz w:val="32"/>
          <w:szCs w:val="32"/>
        </w:rPr>
        <w:t>（二）部门内部管理情况</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本局设置</w:t>
      </w:r>
      <w:r>
        <w:rPr>
          <w:rFonts w:hint="eastAsia" w:ascii="仿宋" w:hAnsi="仿宋" w:eastAsia="仿宋"/>
          <w:sz w:val="32"/>
          <w:szCs w:val="32"/>
          <w:lang w:eastAsia="zh-CN"/>
        </w:rPr>
        <w:t>社保</w:t>
      </w:r>
      <w:r>
        <w:rPr>
          <w:rFonts w:hint="eastAsia" w:ascii="仿宋" w:hAnsi="仿宋" w:eastAsia="仿宋"/>
          <w:sz w:val="32"/>
          <w:szCs w:val="32"/>
        </w:rPr>
        <w:t>基金</w:t>
      </w:r>
      <w:r>
        <w:rPr>
          <w:rFonts w:hint="eastAsia" w:ascii="仿宋" w:hAnsi="仿宋" w:eastAsia="仿宋"/>
          <w:sz w:val="32"/>
          <w:szCs w:val="32"/>
          <w:lang w:eastAsia="zh-CN"/>
        </w:rPr>
        <w:t>管理</w:t>
      </w:r>
      <w:r>
        <w:rPr>
          <w:rFonts w:hint="eastAsia" w:ascii="仿宋" w:hAnsi="仿宋" w:eastAsia="仿宋"/>
          <w:sz w:val="32"/>
          <w:szCs w:val="32"/>
        </w:rPr>
        <w:t>股，负责养老保险基金各险种的征缴发放及本部门行政运行经费的日常管理、财务管理、专项资金管理、资产管理及风险控制（日常检查监督)等，严格按会计制度核算收支，专人专岗，做好各类会计数据的上报、基金管理使用及票据领用核销、风险防控检查等各项工作。</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楷体"/>
          <w:b/>
          <w:bCs/>
          <w:sz w:val="32"/>
          <w:szCs w:val="32"/>
        </w:rPr>
      </w:pPr>
      <w:r>
        <w:rPr>
          <w:rFonts w:hint="eastAsia" w:ascii="仿宋" w:hAnsi="仿宋" w:eastAsia="仿宋" w:cs="楷体"/>
          <w:b/>
          <w:bCs/>
          <w:sz w:val="32"/>
          <w:szCs w:val="32"/>
        </w:rPr>
        <w:t>（三）年度重点工作任务及完成情况</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楷体"/>
          <w:bCs/>
          <w:sz w:val="32"/>
          <w:szCs w:val="32"/>
        </w:rPr>
      </w:pPr>
      <w:r>
        <w:rPr>
          <w:rFonts w:hint="eastAsia" w:ascii="仿宋" w:hAnsi="仿宋" w:eastAsia="仿宋" w:cs="楷体"/>
          <w:bCs/>
          <w:sz w:val="32"/>
          <w:szCs w:val="32"/>
        </w:rPr>
        <w:t>2019年全县城镇职工养老保险在职参保人数达30724人，完成全年在职职工参保任务的104.5%；当期基本养老保险费累计征缴27526万元，完成全年任务的105.51%；企业参保离退休人数为7632人，累计基本养老金支出16576万元；机关事业单位参保离退休人数为2786人，累计基本养老金支出12767万元。企业养老保险基金结余达7.69亿元；机关事业单位养老保险基金结余0.52亿元。共向上争取各项资金4006.46万元。</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二、部门整体支出管理及使用情况</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2019年初县财政局批复我单位部门预算支出5714.56万元，</w:t>
      </w:r>
      <w:r>
        <w:rPr>
          <w:rFonts w:hint="eastAsia" w:ascii="仿宋" w:hAnsi="仿宋" w:eastAsia="仿宋"/>
          <w:sz w:val="32"/>
          <w:szCs w:val="32"/>
          <w:lang w:eastAsia="zh-CN"/>
        </w:rPr>
        <w:t>其中包括</w:t>
      </w:r>
      <w:r>
        <w:rPr>
          <w:rFonts w:hint="eastAsia" w:ascii="仿宋" w:hAnsi="仿宋" w:eastAsia="仿宋"/>
          <w:sz w:val="32"/>
          <w:szCs w:val="32"/>
        </w:rPr>
        <w:t>一般公共预算拨款</w:t>
      </w:r>
      <w:r>
        <w:rPr>
          <w:rFonts w:hint="eastAsia" w:ascii="仿宋" w:hAnsi="仿宋" w:eastAsia="仿宋"/>
          <w:sz w:val="32"/>
          <w:szCs w:val="32"/>
          <w:lang w:eastAsia="zh-CN"/>
        </w:rPr>
        <w:t>收入</w:t>
      </w:r>
      <w:r>
        <w:rPr>
          <w:rFonts w:hint="eastAsia" w:ascii="仿宋" w:hAnsi="仿宋" w:eastAsia="仿宋"/>
          <w:sz w:val="32"/>
          <w:szCs w:val="32"/>
        </w:rPr>
        <w:t>4019</w:t>
      </w:r>
      <w:r>
        <w:rPr>
          <w:rFonts w:hint="eastAsia" w:ascii="仿宋" w:hAnsi="仿宋" w:eastAsia="仿宋"/>
          <w:sz w:val="32"/>
          <w:szCs w:val="32"/>
          <w:lang w:val="en-US" w:eastAsia="zh-CN"/>
        </w:rPr>
        <w:t>.</w:t>
      </w:r>
      <w:r>
        <w:rPr>
          <w:rFonts w:hint="eastAsia" w:ascii="仿宋" w:hAnsi="仿宋" w:eastAsia="仿宋"/>
          <w:sz w:val="32"/>
          <w:szCs w:val="32"/>
        </w:rPr>
        <w:t>78万元</w:t>
      </w:r>
      <w:r>
        <w:rPr>
          <w:rFonts w:hint="eastAsia" w:ascii="仿宋" w:hAnsi="仿宋" w:eastAsia="仿宋"/>
          <w:sz w:val="32"/>
          <w:szCs w:val="32"/>
          <w:lang w:eastAsia="zh-CN"/>
        </w:rPr>
        <w:t>，政府性基金预算财政拨款收入1094</w:t>
      </w:r>
      <w:r>
        <w:rPr>
          <w:rFonts w:hint="eastAsia" w:ascii="仿宋" w:hAnsi="仿宋" w:eastAsia="仿宋"/>
          <w:sz w:val="32"/>
          <w:szCs w:val="32"/>
          <w:lang w:val="en-US" w:eastAsia="zh-CN"/>
        </w:rPr>
        <w:t>.</w:t>
      </w:r>
      <w:r>
        <w:rPr>
          <w:rFonts w:hint="eastAsia" w:ascii="仿宋" w:hAnsi="仿宋" w:eastAsia="仿宋"/>
          <w:sz w:val="32"/>
          <w:szCs w:val="32"/>
          <w:lang w:eastAsia="zh-CN"/>
        </w:rPr>
        <w:t>78万元</w:t>
      </w:r>
      <w:r>
        <w:rPr>
          <w:rFonts w:hint="eastAsia" w:ascii="仿宋" w:hAnsi="仿宋" w:eastAsia="仿宋"/>
          <w:sz w:val="32"/>
          <w:szCs w:val="32"/>
        </w:rPr>
        <w:t>。当年实际完成收入5925</w:t>
      </w:r>
      <w:r>
        <w:rPr>
          <w:rFonts w:hint="eastAsia" w:ascii="仿宋" w:hAnsi="仿宋" w:eastAsia="仿宋"/>
          <w:sz w:val="32"/>
          <w:szCs w:val="32"/>
          <w:lang w:val="en-US" w:eastAsia="zh-CN"/>
        </w:rPr>
        <w:t>.</w:t>
      </w:r>
      <w:r>
        <w:rPr>
          <w:rFonts w:hint="eastAsia" w:ascii="仿宋" w:hAnsi="仿宋" w:eastAsia="仿宋"/>
          <w:sz w:val="32"/>
          <w:szCs w:val="32"/>
        </w:rPr>
        <w:t>86万元；完成支出5925</w:t>
      </w:r>
      <w:r>
        <w:rPr>
          <w:rFonts w:hint="eastAsia" w:ascii="仿宋" w:hAnsi="仿宋" w:eastAsia="仿宋"/>
          <w:sz w:val="32"/>
          <w:szCs w:val="32"/>
          <w:lang w:val="en-US" w:eastAsia="zh-CN"/>
        </w:rPr>
        <w:t>.</w:t>
      </w:r>
      <w:r>
        <w:rPr>
          <w:rFonts w:hint="eastAsia" w:ascii="仿宋" w:hAnsi="仿宋" w:eastAsia="仿宋"/>
          <w:sz w:val="32"/>
          <w:szCs w:val="32"/>
        </w:rPr>
        <w:t>86万元，其中工资福利支出264</w:t>
      </w:r>
      <w:r>
        <w:rPr>
          <w:rFonts w:hint="eastAsia" w:ascii="仿宋" w:hAnsi="仿宋" w:eastAsia="仿宋"/>
          <w:sz w:val="32"/>
          <w:szCs w:val="32"/>
          <w:lang w:val="en-US" w:eastAsia="zh-CN"/>
        </w:rPr>
        <w:t>.</w:t>
      </w:r>
      <w:r>
        <w:rPr>
          <w:rFonts w:hint="eastAsia" w:ascii="仿宋" w:hAnsi="仿宋" w:eastAsia="仿宋"/>
          <w:sz w:val="32"/>
          <w:szCs w:val="32"/>
        </w:rPr>
        <w:t>26万元、商品和服务支出</w:t>
      </w:r>
      <w:r>
        <w:rPr>
          <w:rFonts w:hint="eastAsia" w:ascii="仿宋" w:hAnsi="仿宋" w:eastAsia="仿宋"/>
          <w:sz w:val="32"/>
          <w:szCs w:val="32"/>
          <w:lang w:val="en-US" w:eastAsia="zh-CN"/>
        </w:rPr>
        <w:t>37.52</w:t>
      </w:r>
      <w:r>
        <w:rPr>
          <w:rFonts w:hint="eastAsia" w:ascii="仿宋" w:hAnsi="仿宋" w:eastAsia="仿宋"/>
          <w:sz w:val="32"/>
          <w:szCs w:val="32"/>
        </w:rPr>
        <w:t>万元、对个人和家庭的补助支出522</w:t>
      </w:r>
      <w:r>
        <w:rPr>
          <w:rFonts w:hint="eastAsia" w:ascii="仿宋" w:hAnsi="仿宋" w:eastAsia="仿宋"/>
          <w:sz w:val="32"/>
          <w:szCs w:val="32"/>
          <w:lang w:val="en-US" w:eastAsia="zh-CN"/>
        </w:rPr>
        <w:t>.</w:t>
      </w:r>
      <w:r>
        <w:rPr>
          <w:rFonts w:hint="eastAsia" w:ascii="仿宋" w:hAnsi="仿宋" w:eastAsia="仿宋"/>
          <w:sz w:val="32"/>
          <w:szCs w:val="32"/>
        </w:rPr>
        <w:t>95万元</w:t>
      </w:r>
      <w:r>
        <w:rPr>
          <w:rFonts w:hint="eastAsia" w:ascii="仿宋" w:hAnsi="仿宋" w:eastAsia="仿宋"/>
          <w:sz w:val="32"/>
          <w:szCs w:val="32"/>
          <w:lang w:eastAsia="zh-CN"/>
        </w:rPr>
        <w:t>、资本性支出4945</w:t>
      </w:r>
      <w:r>
        <w:rPr>
          <w:rFonts w:hint="eastAsia" w:ascii="仿宋" w:hAnsi="仿宋" w:eastAsia="仿宋"/>
          <w:sz w:val="32"/>
          <w:szCs w:val="32"/>
          <w:lang w:val="en-US" w:eastAsia="zh-CN"/>
        </w:rPr>
        <w:t>.</w:t>
      </w:r>
      <w:r>
        <w:rPr>
          <w:rFonts w:hint="eastAsia" w:ascii="仿宋" w:hAnsi="仿宋" w:eastAsia="仿宋"/>
          <w:sz w:val="32"/>
          <w:szCs w:val="32"/>
          <w:lang w:eastAsia="zh-CN"/>
        </w:rPr>
        <w:t>37</w:t>
      </w:r>
      <w:r>
        <w:rPr>
          <w:rFonts w:hint="eastAsia" w:ascii="仿宋" w:hAnsi="仿宋" w:eastAsia="仿宋"/>
          <w:sz w:val="32"/>
          <w:szCs w:val="32"/>
        </w:rPr>
        <w:t>等；年底结余155</w:t>
      </w:r>
      <w:r>
        <w:rPr>
          <w:rFonts w:hint="eastAsia" w:ascii="仿宋" w:hAnsi="仿宋" w:eastAsia="仿宋"/>
          <w:sz w:val="32"/>
          <w:szCs w:val="32"/>
          <w:lang w:val="en-US" w:eastAsia="zh-CN"/>
        </w:rPr>
        <w:t>.</w:t>
      </w:r>
      <w:r>
        <w:rPr>
          <w:rFonts w:hint="eastAsia" w:ascii="仿宋" w:hAnsi="仿宋" w:eastAsia="仿宋"/>
          <w:sz w:val="32"/>
          <w:szCs w:val="32"/>
        </w:rPr>
        <w:t>74万元。部门预算支出与决算的差异总额为</w:t>
      </w:r>
      <w:r>
        <w:rPr>
          <w:rFonts w:hint="eastAsia" w:ascii="仿宋" w:hAnsi="仿宋" w:eastAsia="仿宋"/>
          <w:sz w:val="32"/>
          <w:szCs w:val="32"/>
          <w:lang w:val="en-US" w:eastAsia="zh-CN"/>
        </w:rPr>
        <w:t>211.3</w:t>
      </w:r>
      <w:r>
        <w:rPr>
          <w:rFonts w:hint="eastAsia" w:ascii="仿宋" w:hAnsi="仿宋" w:eastAsia="仿宋"/>
          <w:sz w:val="32"/>
          <w:szCs w:val="32"/>
        </w:rPr>
        <w:t>万元，差异的具体情况及原因见下表：</w:t>
      </w:r>
    </w:p>
    <w:tbl>
      <w:tblPr>
        <w:tblStyle w:val="4"/>
        <w:tblW w:w="0" w:type="auto"/>
        <w:jc w:val="center"/>
        <w:tblLayout w:type="fixed"/>
        <w:tblCellMar>
          <w:top w:w="0" w:type="dxa"/>
          <w:left w:w="108" w:type="dxa"/>
          <w:bottom w:w="0" w:type="dxa"/>
          <w:right w:w="108" w:type="dxa"/>
        </w:tblCellMar>
      </w:tblPr>
      <w:tblGrid>
        <w:gridCol w:w="1703"/>
        <w:gridCol w:w="1395"/>
        <w:gridCol w:w="1305"/>
        <w:gridCol w:w="1080"/>
        <w:gridCol w:w="1380"/>
        <w:gridCol w:w="1382"/>
      </w:tblGrid>
      <w:tr>
        <w:tblPrEx>
          <w:tblCellMar>
            <w:top w:w="0" w:type="dxa"/>
            <w:left w:w="108" w:type="dxa"/>
            <w:bottom w:w="0" w:type="dxa"/>
            <w:right w:w="108" w:type="dxa"/>
          </w:tblCellMar>
        </w:tblPrEx>
        <w:trPr>
          <w:trHeight w:val="285" w:hRule="atLeast"/>
          <w:jc w:val="center"/>
        </w:trPr>
        <w:tc>
          <w:tcPr>
            <w:tcW w:w="8245" w:type="dxa"/>
            <w:gridSpan w:val="6"/>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宋体"/>
                <w:b/>
                <w:bCs/>
                <w:kern w:val="0"/>
                <w:sz w:val="32"/>
                <w:szCs w:val="32"/>
              </w:rPr>
            </w:pPr>
            <w:r>
              <w:rPr>
                <w:rFonts w:hint="eastAsia" w:ascii="仿宋" w:hAnsi="仿宋" w:eastAsia="仿宋" w:cs="宋体"/>
                <w:b/>
                <w:bCs/>
                <w:kern w:val="0"/>
                <w:sz w:val="32"/>
                <w:szCs w:val="32"/>
                <w:lang w:eastAsia="zh-CN"/>
              </w:rPr>
              <w:t>寻乌</w:t>
            </w:r>
            <w:r>
              <w:rPr>
                <w:rFonts w:hint="eastAsia" w:ascii="仿宋" w:hAnsi="仿宋" w:eastAsia="仿宋" w:cs="宋体"/>
                <w:b/>
                <w:bCs/>
                <w:kern w:val="0"/>
                <w:sz w:val="32"/>
                <w:szCs w:val="32"/>
              </w:rPr>
              <w:t>社保局2019年度财政拨款预算执行总体情况</w:t>
            </w:r>
          </w:p>
        </w:tc>
      </w:tr>
      <w:tr>
        <w:tblPrEx>
          <w:tblCellMar>
            <w:top w:w="0" w:type="dxa"/>
            <w:left w:w="108" w:type="dxa"/>
            <w:bottom w:w="0" w:type="dxa"/>
            <w:right w:w="108" w:type="dxa"/>
          </w:tblCellMar>
        </w:tblPrEx>
        <w:trPr>
          <w:trHeight w:val="105" w:hRule="atLeast"/>
          <w:jc w:val="center"/>
        </w:trPr>
        <w:tc>
          <w:tcPr>
            <w:tcW w:w="1703"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仿宋" w:hAnsi="仿宋" w:eastAsia="仿宋" w:cs="宋体"/>
                <w:kern w:val="0"/>
                <w:sz w:val="32"/>
                <w:szCs w:val="32"/>
              </w:rPr>
            </w:pPr>
          </w:p>
        </w:tc>
        <w:tc>
          <w:tcPr>
            <w:tcW w:w="1395"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仿宋" w:hAnsi="仿宋" w:eastAsia="仿宋" w:cs="宋体"/>
                <w:kern w:val="0"/>
                <w:sz w:val="32"/>
                <w:szCs w:val="32"/>
              </w:rPr>
            </w:pPr>
          </w:p>
        </w:tc>
        <w:tc>
          <w:tcPr>
            <w:tcW w:w="1305"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tc>
        <w:tc>
          <w:tcPr>
            <w:tcW w:w="1080"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宋体"/>
                <w:kern w:val="0"/>
                <w:sz w:val="28"/>
                <w:szCs w:val="32"/>
                <w:lang w:val="en-US" w:eastAsia="zh-CN"/>
              </w:rPr>
            </w:pPr>
            <w:r>
              <w:rPr>
                <w:rFonts w:hint="eastAsia" w:ascii="仿宋" w:hAnsi="仿宋" w:eastAsia="仿宋" w:cs="宋体"/>
                <w:kern w:val="0"/>
                <w:sz w:val="28"/>
                <w:szCs w:val="32"/>
              </w:rPr>
              <w:t>单位：</w:t>
            </w:r>
            <w:r>
              <w:rPr>
                <w:rFonts w:hint="eastAsia" w:ascii="仿宋" w:hAnsi="仿宋" w:eastAsia="仿宋" w:cs="宋体"/>
                <w:kern w:val="0"/>
                <w:sz w:val="28"/>
                <w:szCs w:val="32"/>
                <w:lang w:val="en-US" w:eastAsia="zh-CN"/>
              </w:rPr>
              <w:t xml:space="preserve"> </w:t>
            </w:r>
          </w:p>
        </w:tc>
        <w:tc>
          <w:tcPr>
            <w:tcW w:w="2762" w:type="dxa"/>
            <w:gridSpan w:val="2"/>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万元     </w:t>
            </w:r>
          </w:p>
        </w:tc>
      </w:tr>
      <w:tr>
        <w:tblPrEx>
          <w:tblCellMar>
            <w:top w:w="0" w:type="dxa"/>
            <w:left w:w="108" w:type="dxa"/>
            <w:bottom w:w="0" w:type="dxa"/>
            <w:right w:w="108" w:type="dxa"/>
          </w:tblCellMar>
        </w:tblPrEx>
        <w:trPr>
          <w:trHeight w:val="330" w:hRule="atLeast"/>
          <w:jc w:val="center"/>
        </w:trPr>
        <w:tc>
          <w:tcPr>
            <w:tcW w:w="170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项目</w:t>
            </w:r>
          </w:p>
        </w:tc>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小计</w:t>
            </w:r>
          </w:p>
        </w:tc>
        <w:tc>
          <w:tcPr>
            <w:tcW w:w="238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基本支出</w:t>
            </w:r>
          </w:p>
        </w:tc>
        <w:tc>
          <w:tcPr>
            <w:tcW w:w="13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项目</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支出</w:t>
            </w:r>
          </w:p>
        </w:tc>
        <w:tc>
          <w:tcPr>
            <w:tcW w:w="13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政府性基金预算支出</w:t>
            </w:r>
          </w:p>
        </w:tc>
      </w:tr>
      <w:tr>
        <w:tblPrEx>
          <w:tblCellMar>
            <w:top w:w="0" w:type="dxa"/>
            <w:left w:w="108" w:type="dxa"/>
            <w:bottom w:w="0" w:type="dxa"/>
            <w:right w:w="108" w:type="dxa"/>
          </w:tblCellMar>
        </w:tblPrEx>
        <w:trPr>
          <w:trHeight w:val="1128" w:hRule="atLeast"/>
          <w:jc w:val="center"/>
        </w:trPr>
        <w:tc>
          <w:tcPr>
            <w:tcW w:w="17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kern w:val="0"/>
                <w:sz w:val="32"/>
                <w:szCs w:val="32"/>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p>
        </w:tc>
        <w:tc>
          <w:tcPr>
            <w:tcW w:w="13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人员</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经费</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公用经费</w:t>
            </w:r>
          </w:p>
        </w:tc>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p>
        </w:tc>
        <w:tc>
          <w:tcPr>
            <w:tcW w:w="138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p>
        </w:tc>
      </w:tr>
      <w:tr>
        <w:tblPrEx>
          <w:tblCellMar>
            <w:top w:w="0" w:type="dxa"/>
            <w:left w:w="108" w:type="dxa"/>
            <w:bottom w:w="0" w:type="dxa"/>
            <w:right w:w="108" w:type="dxa"/>
          </w:tblCellMar>
        </w:tblPrEx>
        <w:trPr>
          <w:trHeight w:val="226" w:hRule="atLeast"/>
          <w:jc w:val="center"/>
        </w:trPr>
        <w:tc>
          <w:tcPr>
            <w:tcW w:w="1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预算数</w:t>
            </w:r>
          </w:p>
        </w:tc>
        <w:tc>
          <w:tcPr>
            <w:tcW w:w="13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楷体_GBK" w:hAnsi="方正楷体_GBK" w:eastAsia="方正楷体_GBK" w:cs="方正楷体_GBK"/>
                <w:kern w:val="0"/>
                <w:sz w:val="30"/>
                <w:szCs w:val="30"/>
              </w:rPr>
            </w:pPr>
            <w:r>
              <w:rPr>
                <w:rFonts w:hint="eastAsia" w:ascii="方正楷体_GBK" w:hAnsi="方正楷体_GBK" w:eastAsia="方正楷体_GBK" w:cs="方正楷体_GBK"/>
                <w:sz w:val="30"/>
                <w:szCs w:val="30"/>
                <w:lang w:val="en-US" w:eastAsia="zh-CN"/>
              </w:rPr>
              <w:t>5714.56</w:t>
            </w:r>
          </w:p>
        </w:tc>
        <w:tc>
          <w:tcPr>
            <w:tcW w:w="1305"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楷体_GBK" w:hAnsi="方正楷体_GBK" w:eastAsia="方正楷体_GBK" w:cs="方正楷体_GBK"/>
                <w:kern w:val="0"/>
                <w:sz w:val="30"/>
                <w:szCs w:val="30"/>
              </w:rPr>
            </w:pPr>
            <w:r>
              <w:rPr>
                <w:rFonts w:hint="eastAsia" w:ascii="方正楷体_GBK" w:hAnsi="方正楷体_GBK" w:eastAsia="方正楷体_GBK" w:cs="方正楷体_GBK"/>
                <w:kern w:val="0"/>
                <w:sz w:val="30"/>
                <w:szCs w:val="30"/>
              </w:rPr>
              <w:t>3775</w:t>
            </w:r>
            <w:r>
              <w:rPr>
                <w:rFonts w:hint="eastAsia" w:ascii="方正楷体_GBK" w:hAnsi="方正楷体_GBK" w:eastAsia="方正楷体_GBK" w:cs="方正楷体_GBK"/>
                <w:kern w:val="0"/>
                <w:sz w:val="30"/>
                <w:szCs w:val="30"/>
                <w:lang w:val="en-US" w:eastAsia="zh-CN"/>
              </w:rPr>
              <w:t>.</w:t>
            </w:r>
            <w:r>
              <w:rPr>
                <w:rFonts w:hint="eastAsia" w:ascii="方正楷体_GBK" w:hAnsi="方正楷体_GBK" w:eastAsia="方正楷体_GBK" w:cs="方正楷体_GBK"/>
                <w:b w:val="0"/>
                <w:bCs w:val="0"/>
                <w:kern w:val="0"/>
                <w:sz w:val="30"/>
                <w:szCs w:val="30"/>
              </w:rPr>
              <w:t>1</w:t>
            </w:r>
            <w:r>
              <w:rPr>
                <w:rFonts w:hint="eastAsia" w:ascii="方正楷体_GBK" w:hAnsi="方正楷体_GBK" w:eastAsia="方正楷体_GBK" w:cs="方正楷体_GBK"/>
                <w:kern w:val="0"/>
                <w:sz w:val="30"/>
                <w:szCs w:val="30"/>
              </w:rPr>
              <w:t>9</w:t>
            </w:r>
          </w:p>
        </w:tc>
        <w:tc>
          <w:tcPr>
            <w:tcW w:w="108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楷体_GBK" w:hAnsi="方正楷体_GBK" w:eastAsia="方正楷体_GBK" w:cs="方正楷体_GBK"/>
                <w:kern w:val="0"/>
                <w:sz w:val="30"/>
                <w:szCs w:val="30"/>
              </w:rPr>
            </w:pPr>
            <w:r>
              <w:rPr>
                <w:rFonts w:hint="eastAsia" w:ascii="方正楷体_GBK" w:hAnsi="方正楷体_GBK" w:eastAsia="方正楷体_GBK" w:cs="方正楷体_GBK"/>
                <w:kern w:val="0"/>
                <w:sz w:val="30"/>
                <w:szCs w:val="30"/>
              </w:rPr>
              <w:t>197</w:t>
            </w:r>
            <w:r>
              <w:rPr>
                <w:rFonts w:hint="eastAsia" w:ascii="方正楷体_GBK" w:hAnsi="方正楷体_GBK" w:eastAsia="方正楷体_GBK" w:cs="方正楷体_GBK"/>
                <w:kern w:val="0"/>
                <w:sz w:val="30"/>
                <w:szCs w:val="30"/>
                <w:lang w:val="en-US" w:eastAsia="zh-CN"/>
              </w:rPr>
              <w:t>.</w:t>
            </w:r>
            <w:r>
              <w:rPr>
                <w:rFonts w:hint="eastAsia" w:ascii="方正楷体_GBK" w:hAnsi="方正楷体_GBK" w:eastAsia="方正楷体_GBK" w:cs="方正楷体_GBK"/>
                <w:kern w:val="0"/>
                <w:sz w:val="30"/>
                <w:szCs w:val="30"/>
              </w:rPr>
              <w:t>49</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楷体_GBK" w:hAnsi="方正楷体_GBK" w:eastAsia="方正楷体_GBK" w:cs="方正楷体_GBK"/>
                <w:kern w:val="0"/>
                <w:sz w:val="30"/>
                <w:szCs w:val="30"/>
              </w:rPr>
            </w:pPr>
            <w:r>
              <w:rPr>
                <w:rFonts w:hint="eastAsia" w:ascii="方正楷体_GBK" w:hAnsi="方正楷体_GBK" w:eastAsia="方正楷体_GBK" w:cs="方正楷体_GBK"/>
                <w:kern w:val="0"/>
                <w:sz w:val="30"/>
                <w:szCs w:val="30"/>
              </w:rPr>
              <w:t>47.10</w:t>
            </w:r>
          </w:p>
        </w:tc>
        <w:tc>
          <w:tcPr>
            <w:tcW w:w="138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楷体_GBK" w:hAnsi="方正楷体_GBK" w:eastAsia="方正楷体_GBK" w:cs="方正楷体_GBK"/>
                <w:kern w:val="0"/>
                <w:sz w:val="30"/>
                <w:szCs w:val="30"/>
              </w:rPr>
            </w:pPr>
            <w:r>
              <w:rPr>
                <w:rFonts w:hint="eastAsia" w:ascii="方正楷体_GBK" w:hAnsi="方正楷体_GBK" w:eastAsia="方正楷体_GBK" w:cs="方正楷体_GBK"/>
                <w:kern w:val="0"/>
                <w:sz w:val="30"/>
                <w:szCs w:val="30"/>
              </w:rPr>
              <w:t>1694.78</w:t>
            </w:r>
          </w:p>
        </w:tc>
      </w:tr>
      <w:tr>
        <w:tblPrEx>
          <w:tblCellMar>
            <w:top w:w="0" w:type="dxa"/>
            <w:left w:w="108" w:type="dxa"/>
            <w:bottom w:w="0" w:type="dxa"/>
            <w:right w:w="108" w:type="dxa"/>
          </w:tblCellMar>
        </w:tblPrEx>
        <w:trPr>
          <w:trHeight w:val="315" w:hRule="atLeast"/>
          <w:jc w:val="center"/>
        </w:trPr>
        <w:tc>
          <w:tcPr>
            <w:tcW w:w="1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决算数</w:t>
            </w:r>
          </w:p>
        </w:tc>
        <w:tc>
          <w:tcPr>
            <w:tcW w:w="13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楷体_GBK" w:hAnsi="方正楷体_GBK" w:eastAsia="方正楷体_GBK" w:cs="方正楷体_GBK"/>
                <w:b w:val="0"/>
                <w:bCs w:val="0"/>
                <w:kern w:val="0"/>
                <w:sz w:val="30"/>
                <w:szCs w:val="30"/>
              </w:rPr>
            </w:pPr>
            <w:r>
              <w:rPr>
                <w:rFonts w:hint="eastAsia" w:ascii="方正楷体_GBK" w:hAnsi="方正楷体_GBK" w:eastAsia="方正楷体_GBK" w:cs="方正楷体_GBK"/>
                <w:b w:val="0"/>
                <w:bCs w:val="0"/>
                <w:kern w:val="0"/>
                <w:sz w:val="30"/>
                <w:szCs w:val="30"/>
              </w:rPr>
              <w:t>5925</w:t>
            </w:r>
            <w:r>
              <w:rPr>
                <w:rFonts w:hint="eastAsia" w:ascii="方正楷体_GBK" w:hAnsi="方正楷体_GBK" w:eastAsia="方正楷体_GBK" w:cs="方正楷体_GBK"/>
                <w:b w:val="0"/>
                <w:bCs w:val="0"/>
                <w:kern w:val="0"/>
                <w:sz w:val="30"/>
                <w:szCs w:val="30"/>
                <w:lang w:val="en-US" w:eastAsia="zh-CN"/>
              </w:rPr>
              <w:t>.</w:t>
            </w:r>
            <w:r>
              <w:rPr>
                <w:rFonts w:hint="eastAsia" w:ascii="方正楷体_GBK" w:hAnsi="方正楷体_GBK" w:eastAsia="方正楷体_GBK" w:cs="方正楷体_GBK"/>
                <w:b w:val="0"/>
                <w:bCs w:val="0"/>
                <w:kern w:val="0"/>
                <w:sz w:val="30"/>
                <w:szCs w:val="30"/>
              </w:rPr>
              <w:t>86</w:t>
            </w:r>
          </w:p>
        </w:tc>
        <w:tc>
          <w:tcPr>
            <w:tcW w:w="1305"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b w:val="0"/>
                <w:bCs w:val="0"/>
                <w:kern w:val="0"/>
                <w:sz w:val="30"/>
                <w:szCs w:val="30"/>
                <w:lang w:val="en-US" w:eastAsia="zh-CN"/>
              </w:rPr>
            </w:pPr>
            <w:r>
              <w:rPr>
                <w:rFonts w:hint="eastAsia" w:ascii="方正楷体_GBK" w:hAnsi="方正楷体_GBK" w:eastAsia="方正楷体_GBK" w:cs="方正楷体_GBK"/>
                <w:b w:val="0"/>
                <w:bCs w:val="0"/>
                <w:kern w:val="0"/>
                <w:sz w:val="30"/>
                <w:szCs w:val="30"/>
                <w:lang w:val="en-US" w:eastAsia="zh-CN"/>
              </w:rPr>
              <w:t>787.22</w:t>
            </w:r>
          </w:p>
        </w:tc>
        <w:tc>
          <w:tcPr>
            <w:tcW w:w="108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b w:val="0"/>
                <w:bCs w:val="0"/>
                <w:kern w:val="0"/>
                <w:sz w:val="30"/>
                <w:szCs w:val="30"/>
                <w:lang w:val="en-US" w:eastAsia="zh-CN"/>
              </w:rPr>
            </w:pPr>
            <w:r>
              <w:rPr>
                <w:rFonts w:hint="eastAsia" w:ascii="方正楷体_GBK" w:hAnsi="方正楷体_GBK" w:eastAsia="方正楷体_GBK" w:cs="方正楷体_GBK"/>
                <w:b w:val="0"/>
                <w:bCs w:val="0"/>
                <w:kern w:val="0"/>
                <w:sz w:val="30"/>
                <w:szCs w:val="30"/>
                <w:lang w:val="en-US" w:eastAsia="zh-CN"/>
              </w:rPr>
              <w:t>37.52</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楷体_GBK" w:hAnsi="方正楷体_GBK" w:eastAsia="方正楷体_GBK" w:cs="方正楷体_GBK"/>
                <w:b w:val="0"/>
                <w:bCs w:val="0"/>
                <w:kern w:val="0"/>
                <w:sz w:val="30"/>
                <w:szCs w:val="30"/>
              </w:rPr>
            </w:pPr>
            <w:r>
              <w:rPr>
                <w:rFonts w:hint="eastAsia" w:ascii="方正楷体_GBK" w:hAnsi="方正楷体_GBK" w:eastAsia="方正楷体_GBK" w:cs="方正楷体_GBK"/>
                <w:b w:val="0"/>
                <w:bCs w:val="0"/>
                <w:kern w:val="0"/>
                <w:sz w:val="30"/>
                <w:szCs w:val="30"/>
              </w:rPr>
              <w:t>3786</w:t>
            </w:r>
            <w:r>
              <w:rPr>
                <w:rFonts w:hint="eastAsia" w:ascii="方正楷体_GBK" w:hAnsi="方正楷体_GBK" w:eastAsia="方正楷体_GBK" w:cs="方正楷体_GBK"/>
                <w:b w:val="0"/>
                <w:bCs w:val="0"/>
                <w:kern w:val="0"/>
                <w:sz w:val="30"/>
                <w:szCs w:val="30"/>
                <w:lang w:val="en-US" w:eastAsia="zh-CN"/>
              </w:rPr>
              <w:t>.</w:t>
            </w:r>
            <w:r>
              <w:rPr>
                <w:rFonts w:hint="eastAsia" w:ascii="方正楷体_GBK" w:hAnsi="方正楷体_GBK" w:eastAsia="方正楷体_GBK" w:cs="方正楷体_GBK"/>
                <w:b w:val="0"/>
                <w:bCs w:val="0"/>
                <w:kern w:val="0"/>
                <w:sz w:val="30"/>
                <w:szCs w:val="30"/>
              </w:rPr>
              <w:t>73</w:t>
            </w:r>
          </w:p>
        </w:tc>
        <w:tc>
          <w:tcPr>
            <w:tcW w:w="138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楷体_GBK" w:hAnsi="方正楷体_GBK" w:eastAsia="方正楷体_GBK" w:cs="方正楷体_GBK"/>
                <w:b w:val="0"/>
                <w:bCs w:val="0"/>
                <w:kern w:val="0"/>
                <w:sz w:val="30"/>
                <w:szCs w:val="30"/>
              </w:rPr>
            </w:pPr>
            <w:r>
              <w:rPr>
                <w:rFonts w:hint="eastAsia" w:ascii="方正楷体_GBK" w:hAnsi="方正楷体_GBK" w:eastAsia="方正楷体_GBK" w:cs="方正楷体_GBK"/>
                <w:b w:val="0"/>
                <w:bCs w:val="0"/>
                <w:kern w:val="0"/>
                <w:sz w:val="30"/>
                <w:szCs w:val="30"/>
              </w:rPr>
              <w:t>1158</w:t>
            </w:r>
            <w:r>
              <w:rPr>
                <w:rFonts w:hint="eastAsia" w:ascii="方正楷体_GBK" w:hAnsi="方正楷体_GBK" w:eastAsia="方正楷体_GBK" w:cs="方正楷体_GBK"/>
                <w:b w:val="0"/>
                <w:bCs w:val="0"/>
                <w:kern w:val="0"/>
                <w:sz w:val="30"/>
                <w:szCs w:val="30"/>
                <w:lang w:val="en-US" w:eastAsia="zh-CN"/>
              </w:rPr>
              <w:t>.</w:t>
            </w:r>
            <w:r>
              <w:rPr>
                <w:rFonts w:hint="eastAsia" w:ascii="方正楷体_GBK" w:hAnsi="方正楷体_GBK" w:eastAsia="方正楷体_GBK" w:cs="方正楷体_GBK"/>
                <w:b w:val="0"/>
                <w:bCs w:val="0"/>
                <w:kern w:val="0"/>
                <w:sz w:val="30"/>
                <w:szCs w:val="30"/>
              </w:rPr>
              <w:t>64</w:t>
            </w:r>
          </w:p>
        </w:tc>
      </w:tr>
      <w:tr>
        <w:tblPrEx>
          <w:tblCellMar>
            <w:top w:w="0" w:type="dxa"/>
            <w:left w:w="108" w:type="dxa"/>
            <w:bottom w:w="0" w:type="dxa"/>
            <w:right w:w="108" w:type="dxa"/>
          </w:tblCellMar>
        </w:tblPrEx>
        <w:trPr>
          <w:trHeight w:val="390" w:hRule="atLeast"/>
          <w:jc w:val="center"/>
        </w:trPr>
        <w:tc>
          <w:tcPr>
            <w:tcW w:w="1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Cs w:val="32"/>
              </w:rPr>
            </w:pPr>
            <w:r>
              <w:rPr>
                <w:rFonts w:hint="eastAsia" w:ascii="仿宋" w:hAnsi="仿宋" w:eastAsia="仿宋" w:cs="仿宋"/>
                <w:kern w:val="0"/>
                <w:szCs w:val="32"/>
              </w:rPr>
              <w:t>预决算的差异数</w:t>
            </w:r>
          </w:p>
        </w:tc>
        <w:tc>
          <w:tcPr>
            <w:tcW w:w="1395"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b w:val="0"/>
                <w:bCs w:val="0"/>
                <w:kern w:val="0"/>
                <w:sz w:val="30"/>
                <w:szCs w:val="30"/>
                <w:lang w:val="en-US" w:eastAsia="zh-CN"/>
              </w:rPr>
            </w:pPr>
            <w:r>
              <w:rPr>
                <w:rFonts w:hint="eastAsia" w:ascii="方正楷体_GBK" w:hAnsi="方正楷体_GBK" w:eastAsia="方正楷体_GBK" w:cs="方正楷体_GBK"/>
                <w:b w:val="0"/>
                <w:bCs w:val="0"/>
                <w:kern w:val="0"/>
                <w:sz w:val="30"/>
                <w:szCs w:val="30"/>
                <w:lang w:val="en-US" w:eastAsia="zh-CN"/>
              </w:rPr>
              <w:t>-211.3</w:t>
            </w:r>
          </w:p>
        </w:tc>
        <w:tc>
          <w:tcPr>
            <w:tcW w:w="1305"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b w:val="0"/>
                <w:bCs w:val="0"/>
                <w:kern w:val="0"/>
                <w:sz w:val="30"/>
                <w:szCs w:val="30"/>
                <w:lang w:val="en-US" w:eastAsia="zh-CN"/>
              </w:rPr>
            </w:pPr>
            <w:r>
              <w:rPr>
                <w:rFonts w:hint="eastAsia" w:ascii="方正楷体_GBK" w:hAnsi="方正楷体_GBK" w:eastAsia="方正楷体_GBK" w:cs="方正楷体_GBK"/>
                <w:b w:val="0"/>
                <w:bCs w:val="0"/>
                <w:kern w:val="0"/>
                <w:sz w:val="30"/>
                <w:szCs w:val="30"/>
                <w:lang w:val="en-US" w:eastAsia="zh-CN"/>
              </w:rPr>
              <w:t>2987.97</w:t>
            </w:r>
          </w:p>
        </w:tc>
        <w:tc>
          <w:tcPr>
            <w:tcW w:w="108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b w:val="0"/>
                <w:bCs w:val="0"/>
                <w:kern w:val="0"/>
                <w:sz w:val="30"/>
                <w:szCs w:val="30"/>
                <w:lang w:val="en-US" w:eastAsia="zh-CN"/>
              </w:rPr>
            </w:pPr>
            <w:r>
              <w:rPr>
                <w:rFonts w:hint="eastAsia" w:ascii="方正楷体_GBK" w:hAnsi="方正楷体_GBK" w:eastAsia="方正楷体_GBK" w:cs="方正楷体_GBK"/>
                <w:b w:val="0"/>
                <w:bCs w:val="0"/>
                <w:kern w:val="0"/>
                <w:sz w:val="30"/>
                <w:szCs w:val="30"/>
                <w:lang w:val="en-US" w:eastAsia="zh-CN"/>
              </w:rPr>
              <w:t>159.97</w:t>
            </w:r>
          </w:p>
        </w:tc>
        <w:tc>
          <w:tcPr>
            <w:tcW w:w="138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b w:val="0"/>
                <w:bCs w:val="0"/>
                <w:kern w:val="0"/>
                <w:sz w:val="30"/>
                <w:szCs w:val="30"/>
                <w:lang w:val="en-US" w:eastAsia="zh-CN"/>
              </w:rPr>
            </w:pPr>
            <w:r>
              <w:rPr>
                <w:rFonts w:hint="eastAsia" w:ascii="方正楷体_GBK" w:hAnsi="方正楷体_GBK" w:eastAsia="方正楷体_GBK" w:cs="方正楷体_GBK"/>
                <w:b w:val="0"/>
                <w:bCs w:val="0"/>
                <w:kern w:val="0"/>
                <w:sz w:val="30"/>
                <w:szCs w:val="30"/>
                <w:lang w:val="en-US" w:eastAsia="zh-CN"/>
              </w:rPr>
              <w:t>-3739.63</w:t>
            </w:r>
          </w:p>
        </w:tc>
        <w:tc>
          <w:tcPr>
            <w:tcW w:w="1382" w:type="dxa"/>
            <w:tcBorders>
              <w:top w:val="nil"/>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b w:val="0"/>
                <w:bCs w:val="0"/>
                <w:kern w:val="0"/>
                <w:sz w:val="30"/>
                <w:szCs w:val="30"/>
                <w:lang w:val="en-US" w:eastAsia="zh-CN"/>
              </w:rPr>
            </w:pPr>
            <w:r>
              <w:rPr>
                <w:rFonts w:hint="eastAsia" w:ascii="方正楷体_GBK" w:hAnsi="方正楷体_GBK" w:eastAsia="方正楷体_GBK" w:cs="方正楷体_GBK"/>
                <w:b w:val="0"/>
                <w:bCs w:val="0"/>
                <w:kern w:val="0"/>
                <w:sz w:val="30"/>
                <w:szCs w:val="30"/>
                <w:lang w:val="en-US" w:eastAsia="zh-CN"/>
              </w:rPr>
              <w:t>536.14</w:t>
            </w:r>
          </w:p>
        </w:tc>
      </w:tr>
      <w:tr>
        <w:tblPrEx>
          <w:tblCellMar>
            <w:top w:w="0" w:type="dxa"/>
            <w:left w:w="108" w:type="dxa"/>
            <w:bottom w:w="0" w:type="dxa"/>
            <w:right w:w="108" w:type="dxa"/>
          </w:tblCellMar>
        </w:tblPrEx>
        <w:trPr>
          <w:trHeight w:val="530" w:hRule="atLeast"/>
          <w:jc w:val="center"/>
        </w:trPr>
        <w:tc>
          <w:tcPr>
            <w:tcW w:w="824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差异原因主要是：</w:t>
            </w:r>
            <w:r>
              <w:rPr>
                <w:rFonts w:hint="eastAsia" w:ascii="仿宋" w:hAnsi="仿宋" w:eastAsia="仿宋" w:cs="仿宋"/>
                <w:kern w:val="0"/>
                <w:sz w:val="32"/>
                <w:szCs w:val="32"/>
                <w:lang w:eastAsia="zh-CN"/>
              </w:rPr>
              <w:t>编制预算与决算报表时存在功能科目口径不一致的情况。</w:t>
            </w:r>
          </w:p>
        </w:tc>
      </w:tr>
    </w:tbl>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楷体"/>
          <w:b/>
          <w:bCs/>
          <w:sz w:val="32"/>
          <w:szCs w:val="32"/>
        </w:rPr>
      </w:pPr>
      <w:r>
        <w:rPr>
          <w:rFonts w:hint="eastAsia" w:ascii="仿宋" w:hAnsi="仿宋" w:eastAsia="仿宋" w:cs="楷体"/>
          <w:b/>
          <w:bCs/>
          <w:sz w:val="32"/>
          <w:szCs w:val="32"/>
        </w:rPr>
        <w:t>（一）基本支出</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基本支出的主要用于工资福利支出、商品和服务支出以及对个人和家庭的补助支出，其中2019年工资福利支出2</w:t>
      </w:r>
      <w:r>
        <w:rPr>
          <w:rFonts w:hint="eastAsia" w:ascii="仿宋" w:hAnsi="仿宋" w:eastAsia="仿宋"/>
          <w:sz w:val="32"/>
          <w:szCs w:val="32"/>
          <w:lang w:val="en-US" w:eastAsia="zh-CN"/>
        </w:rPr>
        <w:t>64.26</w:t>
      </w:r>
      <w:r>
        <w:rPr>
          <w:rFonts w:hint="eastAsia" w:ascii="仿宋" w:hAnsi="仿宋" w:eastAsia="仿宋"/>
          <w:sz w:val="32"/>
          <w:szCs w:val="32"/>
        </w:rPr>
        <w:t>万元（含职工基本工资、津贴补贴、奖金及机关事业单位基本养老保险缴费、职业年金缴费、职工基本医疗保险缴费及其他社会保障缴费、住房公积金、医疗费等）</w:t>
      </w:r>
      <w:r>
        <w:rPr>
          <w:rFonts w:hint="eastAsia" w:ascii="仿宋" w:hAnsi="仿宋" w:eastAsia="仿宋"/>
          <w:sz w:val="32"/>
          <w:szCs w:val="32"/>
          <w:lang w:eastAsia="zh-CN"/>
        </w:rPr>
        <w:t>；对个人和家庭补助支出</w:t>
      </w:r>
      <w:r>
        <w:rPr>
          <w:rFonts w:hint="eastAsia" w:ascii="仿宋" w:hAnsi="仿宋" w:eastAsia="仿宋"/>
          <w:sz w:val="32"/>
          <w:szCs w:val="32"/>
          <w:lang w:val="en-US" w:eastAsia="zh-CN"/>
        </w:rPr>
        <w:t>522.95万元</w:t>
      </w:r>
      <w:r>
        <w:rPr>
          <w:rFonts w:hint="eastAsia" w:ascii="仿宋" w:hAnsi="仿宋" w:eastAsia="仿宋"/>
          <w:sz w:val="32"/>
          <w:szCs w:val="32"/>
        </w:rPr>
        <w:t>（包括</w:t>
      </w:r>
      <w:r>
        <w:rPr>
          <w:rFonts w:hint="eastAsia" w:ascii="仿宋" w:hAnsi="仿宋" w:eastAsia="仿宋"/>
          <w:sz w:val="32"/>
          <w:szCs w:val="32"/>
          <w:lang w:eastAsia="zh-CN"/>
        </w:rPr>
        <w:t>代发的机关事业单位退休人员福利费、取暖费、代发退役士兵和军转干部生活补贴、代发未参保大集体人员生活补贴</w:t>
      </w:r>
      <w:r>
        <w:rPr>
          <w:rFonts w:hint="eastAsia" w:ascii="仿宋" w:hAnsi="仿宋" w:eastAsia="仿宋"/>
          <w:sz w:val="32"/>
          <w:szCs w:val="32"/>
        </w:rPr>
        <w:t>等）；商品和服务支出</w:t>
      </w:r>
      <w:r>
        <w:rPr>
          <w:rFonts w:hint="eastAsia" w:ascii="仿宋" w:hAnsi="仿宋" w:eastAsia="仿宋"/>
          <w:sz w:val="32"/>
          <w:szCs w:val="32"/>
          <w:lang w:val="en-US" w:eastAsia="zh-CN"/>
        </w:rPr>
        <w:t>37.52</w:t>
      </w:r>
      <w:r>
        <w:rPr>
          <w:rFonts w:hint="eastAsia" w:ascii="仿宋" w:hAnsi="仿宋" w:eastAsia="仿宋"/>
          <w:sz w:val="32"/>
          <w:szCs w:val="32"/>
        </w:rPr>
        <w:t>万元（包括办公费、水电费、邮电费、差旅费、工会经费、精准扶贫费用等），其中“三公”经费</w:t>
      </w:r>
      <w:r>
        <w:rPr>
          <w:rFonts w:hint="eastAsia" w:ascii="仿宋" w:hAnsi="仿宋" w:eastAsia="仿宋"/>
          <w:sz w:val="32"/>
          <w:szCs w:val="32"/>
          <w:lang w:val="en-US" w:eastAsia="zh-CN"/>
        </w:rPr>
        <w:t>0.67</w:t>
      </w:r>
      <w:r>
        <w:rPr>
          <w:rFonts w:hint="eastAsia" w:ascii="仿宋" w:hAnsi="仿宋" w:eastAsia="仿宋"/>
          <w:sz w:val="32"/>
          <w:szCs w:val="32"/>
        </w:rPr>
        <w:t>万元</w:t>
      </w:r>
      <w:r>
        <w:rPr>
          <w:rFonts w:hint="eastAsia" w:ascii="仿宋" w:hAnsi="仿宋" w:eastAsia="仿宋"/>
          <w:sz w:val="32"/>
          <w:szCs w:val="32"/>
          <w:lang w:eastAsia="zh-CN"/>
        </w:rPr>
        <w:t>，同比下降</w:t>
      </w:r>
      <w:r>
        <w:rPr>
          <w:rFonts w:hint="eastAsia" w:ascii="仿宋" w:hAnsi="仿宋" w:eastAsia="仿宋"/>
          <w:sz w:val="32"/>
          <w:szCs w:val="32"/>
          <w:lang w:val="en-US" w:eastAsia="zh-CN"/>
        </w:rPr>
        <w:t>82.32</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楷体"/>
          <w:b/>
          <w:bCs/>
          <w:sz w:val="32"/>
          <w:szCs w:val="32"/>
        </w:rPr>
      </w:pPr>
      <w:r>
        <w:rPr>
          <w:rFonts w:hint="eastAsia" w:ascii="仿宋" w:hAnsi="仿宋" w:eastAsia="仿宋" w:cs="楷体"/>
          <w:b/>
          <w:bCs/>
          <w:sz w:val="32"/>
          <w:szCs w:val="32"/>
        </w:rPr>
        <w:t>（二）项目支出</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2019年项目支出</w:t>
      </w:r>
      <w:r>
        <w:rPr>
          <w:rFonts w:hint="eastAsia" w:ascii="仿宋" w:hAnsi="仿宋" w:eastAsia="仿宋"/>
          <w:sz w:val="32"/>
          <w:szCs w:val="32"/>
          <w:lang w:val="en-US" w:eastAsia="zh-CN"/>
        </w:rPr>
        <w:t>4945.37</w:t>
      </w:r>
      <w:r>
        <w:rPr>
          <w:rFonts w:hint="eastAsia" w:ascii="仿宋" w:hAnsi="仿宋" w:eastAsia="仿宋"/>
          <w:sz w:val="32"/>
          <w:szCs w:val="32"/>
        </w:rPr>
        <w:t>万元，主要包括财政对</w:t>
      </w:r>
      <w:r>
        <w:rPr>
          <w:rFonts w:hint="eastAsia" w:ascii="仿宋" w:hAnsi="仿宋" w:eastAsia="仿宋"/>
          <w:sz w:val="32"/>
          <w:szCs w:val="32"/>
          <w:lang w:eastAsia="zh-CN"/>
        </w:rPr>
        <w:t>企业</w:t>
      </w:r>
      <w:r>
        <w:rPr>
          <w:rFonts w:hint="eastAsia" w:ascii="仿宋" w:hAnsi="仿宋" w:eastAsia="仿宋"/>
          <w:sz w:val="32"/>
          <w:szCs w:val="32"/>
        </w:rPr>
        <w:t>基本养老保险基金（被征地农民财政负担部分、村干部养老保险财政配套部分等）的补助</w:t>
      </w:r>
      <w:r>
        <w:rPr>
          <w:rFonts w:hint="eastAsia" w:ascii="仿宋" w:hAnsi="仿宋" w:eastAsia="仿宋"/>
          <w:sz w:val="32"/>
          <w:szCs w:val="32"/>
          <w:lang w:val="en-US" w:eastAsia="zh-CN"/>
        </w:rPr>
        <w:t>4945.37</w:t>
      </w:r>
      <w:r>
        <w:rPr>
          <w:rFonts w:hint="eastAsia" w:ascii="仿宋" w:hAnsi="仿宋" w:eastAsia="仿宋"/>
          <w:sz w:val="32"/>
          <w:szCs w:val="32"/>
        </w:rPr>
        <w:t>万元。</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三、部门整体支出绩效情况</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楷体"/>
          <w:sz w:val="32"/>
          <w:szCs w:val="32"/>
        </w:rPr>
      </w:pPr>
      <w:r>
        <w:rPr>
          <w:rFonts w:hint="eastAsia" w:ascii="仿宋" w:hAnsi="仿宋" w:eastAsia="仿宋" w:cs="楷体"/>
          <w:bCs/>
          <w:sz w:val="32"/>
          <w:szCs w:val="32"/>
        </w:rPr>
        <w:t>(一)评价得分及等级标准（见附表）。</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楷体"/>
          <w:bCs/>
          <w:sz w:val="32"/>
          <w:szCs w:val="32"/>
        </w:rPr>
      </w:pPr>
      <w:r>
        <w:rPr>
          <w:rFonts w:hint="eastAsia" w:ascii="仿宋" w:hAnsi="仿宋" w:eastAsia="仿宋" w:cs="楷体"/>
          <w:bCs/>
          <w:sz w:val="32"/>
          <w:szCs w:val="32"/>
        </w:rPr>
        <w:t>(二)部门履职及履职效益情况。</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围绕全市社保经办工作要点和经办工作绩效考核指标，扎扎实实做好扩面征缴、降费减负、业务经办、助保贷款、基金管理、风险防控、信息宣传等各项工作</w:t>
      </w:r>
      <w:r>
        <w:rPr>
          <w:rFonts w:hint="eastAsia" w:ascii="仿宋" w:hAnsi="仿宋" w:eastAsia="仿宋"/>
          <w:sz w:val="32"/>
          <w:szCs w:val="32"/>
          <w:lang w:eastAsia="zh-CN"/>
        </w:rPr>
        <w:t>，</w:t>
      </w:r>
      <w:r>
        <w:rPr>
          <w:rFonts w:hint="eastAsia" w:ascii="仿宋" w:hAnsi="仿宋" w:eastAsia="仿宋" w:cs="楷体"/>
          <w:bCs/>
          <w:sz w:val="32"/>
          <w:szCs w:val="32"/>
        </w:rPr>
        <w:t>同时完成了</w:t>
      </w:r>
      <w:r>
        <w:rPr>
          <w:rFonts w:hint="eastAsia" w:ascii="仿宋" w:hAnsi="仿宋" w:eastAsia="仿宋" w:cs="楷体"/>
          <w:bCs/>
          <w:sz w:val="32"/>
          <w:szCs w:val="32"/>
          <w:lang w:eastAsia="zh-CN"/>
        </w:rPr>
        <w:t>“创文”</w:t>
      </w:r>
      <w:r>
        <w:rPr>
          <w:rFonts w:hint="eastAsia" w:ascii="仿宋" w:hAnsi="仿宋" w:eastAsia="仿宋" w:cs="楷体"/>
          <w:bCs/>
          <w:sz w:val="32"/>
          <w:szCs w:val="32"/>
        </w:rPr>
        <w:t>、 精准扶贫、信访维稳、综合治理、普法宣传和党建、宣传、公共节能等其他工作任务。</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四、存在的主要问题</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一是降费减负后，机关事业单位养老保险</w:t>
      </w:r>
      <w:r>
        <w:rPr>
          <w:rFonts w:hint="eastAsia" w:ascii="仿宋_GB2312" w:eastAsia="仿宋_GB2312"/>
          <w:sz w:val="32"/>
          <w:szCs w:val="32"/>
        </w:rPr>
        <w:t>基金</w:t>
      </w:r>
      <w:r>
        <w:rPr>
          <w:rFonts w:hint="eastAsia" w:ascii="仿宋_GB2312" w:eastAsia="仿宋_GB2312"/>
          <w:sz w:val="32"/>
          <w:szCs w:val="32"/>
          <w:lang w:eastAsia="zh-CN"/>
        </w:rPr>
        <w:t>每月</w:t>
      </w:r>
      <w:r>
        <w:rPr>
          <w:rFonts w:hint="eastAsia" w:ascii="仿宋_GB2312" w:eastAsia="仿宋_GB2312"/>
          <w:sz w:val="32"/>
          <w:szCs w:val="32"/>
        </w:rPr>
        <w:t>收支缺口由105万元上升至2</w:t>
      </w:r>
      <w:r>
        <w:rPr>
          <w:rFonts w:hint="eastAsia" w:ascii="仿宋_GB2312" w:eastAsia="仿宋_GB2312"/>
          <w:sz w:val="32"/>
          <w:szCs w:val="32"/>
          <w:lang w:val="en-US" w:eastAsia="zh-CN"/>
        </w:rPr>
        <w:t>60</w:t>
      </w:r>
      <w:r>
        <w:rPr>
          <w:rFonts w:hint="eastAsia" w:ascii="仿宋_GB2312" w:eastAsia="仿宋_GB2312"/>
          <w:sz w:val="32"/>
          <w:szCs w:val="32"/>
        </w:rPr>
        <w:t>万元。按目前机关事业单位养老保险基金累计结余分析测算，今年暂且能维持正常运行，但随着我县机关事业单位退休人员的不断增长与待遇调整，预计202</w:t>
      </w:r>
      <w:r>
        <w:rPr>
          <w:rFonts w:hint="eastAsia" w:ascii="仿宋_GB2312" w:eastAsia="仿宋_GB2312"/>
          <w:sz w:val="32"/>
          <w:szCs w:val="32"/>
          <w:lang w:val="en-US" w:eastAsia="zh-CN"/>
        </w:rPr>
        <w:t>0</w:t>
      </w:r>
      <w:r>
        <w:rPr>
          <w:rFonts w:hint="eastAsia" w:ascii="仿宋_GB2312" w:eastAsia="仿宋_GB2312"/>
          <w:sz w:val="32"/>
          <w:szCs w:val="32"/>
        </w:rPr>
        <w:t>年后，可能会出现养老金赤字，难以确保机关事业单位退休人员养老金按时足额发放。</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二是</w:t>
      </w:r>
      <w:r>
        <w:rPr>
          <w:rFonts w:hint="eastAsia" w:ascii="仿宋_GB2312" w:eastAsia="仿宋_GB2312"/>
          <w:sz w:val="32"/>
          <w:szCs w:val="32"/>
        </w:rPr>
        <w:t>目前我局有正式在编人员1</w:t>
      </w:r>
      <w:r>
        <w:rPr>
          <w:rFonts w:hint="eastAsia" w:ascii="仿宋_GB2312" w:eastAsia="仿宋_GB2312"/>
          <w:sz w:val="32"/>
          <w:szCs w:val="32"/>
          <w:lang w:val="en-US" w:eastAsia="zh-CN"/>
        </w:rPr>
        <w:t>5</w:t>
      </w:r>
      <w:r>
        <w:rPr>
          <w:rFonts w:hint="eastAsia" w:ascii="仿宋_GB2312" w:eastAsia="仿宋_GB2312"/>
          <w:sz w:val="32"/>
          <w:szCs w:val="32"/>
        </w:rPr>
        <w:t>人，临聘人员</w:t>
      </w:r>
      <w:r>
        <w:rPr>
          <w:rFonts w:hint="eastAsia" w:ascii="仿宋_GB2312" w:eastAsia="仿宋_GB2312"/>
          <w:sz w:val="32"/>
          <w:szCs w:val="32"/>
          <w:lang w:val="en-US" w:eastAsia="zh-CN"/>
        </w:rPr>
        <w:t>4</w:t>
      </w:r>
      <w:r>
        <w:rPr>
          <w:rFonts w:hint="eastAsia" w:ascii="仿宋_GB2312" w:eastAsia="仿宋_GB2312"/>
          <w:sz w:val="32"/>
          <w:szCs w:val="32"/>
        </w:rPr>
        <w:t>人，见习人员</w:t>
      </w:r>
      <w:r>
        <w:rPr>
          <w:rFonts w:hint="eastAsia" w:ascii="仿宋_GB2312" w:eastAsia="仿宋_GB2312"/>
          <w:sz w:val="32"/>
          <w:szCs w:val="32"/>
          <w:lang w:val="en-US" w:eastAsia="zh-CN"/>
        </w:rPr>
        <w:t>6</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rPr>
        <w:t>但</w:t>
      </w:r>
      <w:r>
        <w:rPr>
          <w:rFonts w:hint="eastAsia" w:ascii="仿宋_GB2312" w:eastAsia="仿宋_GB2312"/>
          <w:sz w:val="32"/>
          <w:szCs w:val="32"/>
          <w:lang w:eastAsia="zh-CN"/>
        </w:rPr>
        <w:t>还是不能满足工作需求和现有岗位设置，缺乏专业技术人才，经办能力建设有待加强。</w:t>
      </w:r>
      <w:r>
        <w:rPr>
          <w:rFonts w:hint="eastAsia" w:ascii="仿宋_GB2312" w:eastAsia="仿宋_GB2312"/>
          <w:sz w:val="32"/>
          <w:szCs w:val="32"/>
        </w:rPr>
        <w:t>如</w:t>
      </w:r>
      <w:r>
        <w:rPr>
          <w:rFonts w:hint="eastAsia" w:ascii="仿宋_GB2312" w:eastAsia="仿宋_GB2312"/>
          <w:sz w:val="32"/>
          <w:szCs w:val="32"/>
          <w:lang w:eastAsia="zh-CN"/>
        </w:rPr>
        <w:t>大厅</w:t>
      </w:r>
      <w:r>
        <w:rPr>
          <w:rFonts w:hint="eastAsia" w:ascii="仿宋_GB2312" w:eastAsia="仿宋_GB2312"/>
          <w:sz w:val="32"/>
          <w:szCs w:val="32"/>
        </w:rPr>
        <w:t>经办</w:t>
      </w:r>
      <w:r>
        <w:rPr>
          <w:rFonts w:hint="eastAsia" w:ascii="仿宋_GB2312" w:eastAsia="仿宋_GB2312"/>
          <w:sz w:val="32"/>
          <w:szCs w:val="32"/>
          <w:lang w:eastAsia="zh-CN"/>
        </w:rPr>
        <w:t>窗口</w:t>
      </w:r>
      <w:r>
        <w:rPr>
          <w:rFonts w:hint="eastAsia" w:ascii="仿宋_GB2312" w:eastAsia="仿宋_GB2312"/>
          <w:sz w:val="32"/>
          <w:szCs w:val="32"/>
        </w:rPr>
        <w:t>虽已设置了5个前台业务受理岗位，但</w:t>
      </w:r>
      <w:r>
        <w:rPr>
          <w:rFonts w:hint="eastAsia" w:ascii="仿宋_GB2312" w:eastAsia="仿宋_GB2312"/>
          <w:sz w:val="32"/>
          <w:szCs w:val="32"/>
          <w:lang w:eastAsia="zh-CN"/>
        </w:rPr>
        <w:t>没有专门设置窗口综合引导岗；又如档案室没有专职档案人员，档案管理不够规范等。</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三是</w:t>
      </w:r>
      <w:r>
        <w:rPr>
          <w:rFonts w:hint="eastAsia" w:ascii="仿宋" w:hAnsi="仿宋" w:eastAsia="仿宋"/>
          <w:sz w:val="32"/>
          <w:szCs w:val="32"/>
        </w:rPr>
        <w:t>人员经费紧张。近年来，随着灵活就业人员、返城知青、小集体职工、村干部、被征地农民、涉军人员等群体纳入企业职工社保，增加代发大集体职工等群体的生活补贴发放，同时工伤保险</w:t>
      </w:r>
      <w:r>
        <w:rPr>
          <w:rFonts w:hint="eastAsia" w:ascii="仿宋" w:hAnsi="仿宋" w:eastAsia="仿宋"/>
          <w:sz w:val="32"/>
          <w:szCs w:val="32"/>
          <w:lang w:eastAsia="zh-CN"/>
        </w:rPr>
        <w:t>全部业务由医保部门移交社保部门</w:t>
      </w:r>
      <w:r>
        <w:rPr>
          <w:rFonts w:hint="eastAsia" w:ascii="仿宋" w:hAnsi="仿宋" w:eastAsia="仿宋"/>
          <w:sz w:val="32"/>
          <w:szCs w:val="32"/>
        </w:rPr>
        <w:t>，使得</w:t>
      </w:r>
      <w:r>
        <w:rPr>
          <w:rFonts w:hint="eastAsia" w:ascii="仿宋" w:hAnsi="仿宋" w:eastAsia="仿宋"/>
          <w:sz w:val="32"/>
          <w:szCs w:val="32"/>
          <w:lang w:eastAsia="zh-CN"/>
        </w:rPr>
        <w:t>我局</w:t>
      </w:r>
      <w:r>
        <w:rPr>
          <w:rFonts w:hint="eastAsia" w:ascii="仿宋" w:hAnsi="仿宋" w:eastAsia="仿宋"/>
          <w:sz w:val="32"/>
          <w:szCs w:val="32"/>
        </w:rPr>
        <w:t>社保业务工作量不断增加，造成人员和经费较为紧张，尤其在社保窗口工作人员业务经办与参加精准扶贫等中心工作间的矛盾特别突出，造成顾此失彼情况。</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五、改进措施和有关建议</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一是</w:t>
      </w:r>
      <w:r>
        <w:rPr>
          <w:rFonts w:hint="eastAsia" w:ascii="仿宋" w:hAnsi="仿宋" w:eastAsia="仿宋"/>
          <w:sz w:val="32"/>
          <w:szCs w:val="32"/>
        </w:rPr>
        <w:t>继续做好企业及机关事业单位退休人员基本养老金发放工作，确保养老金按时足额发放，保持社会化发放率和支付率的两个100%，不发生任何拖欠现象。</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二是</w:t>
      </w:r>
      <w:r>
        <w:rPr>
          <w:rFonts w:hint="eastAsia" w:ascii="仿宋" w:hAnsi="仿宋" w:eastAsia="仿宋"/>
          <w:sz w:val="32"/>
          <w:szCs w:val="32"/>
        </w:rPr>
        <w:t>努力扩大基本养老保险覆盖面。大力推进工业园区企业、灵活就业人员和被征地农民的参保工作，实现应保尽保，应收尽收。</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三是</w:t>
      </w:r>
      <w:r>
        <w:rPr>
          <w:rFonts w:hint="eastAsia" w:ascii="仿宋" w:hAnsi="仿宋" w:eastAsia="仿宋"/>
          <w:sz w:val="32"/>
          <w:szCs w:val="32"/>
        </w:rPr>
        <w:t>积极推进和完善职业年金和工伤保险，做好职业年金经办和工伤保险服务管理工作，并按要求做好工伤保险统收统支相关工作。</w:t>
      </w:r>
      <w:r>
        <w:rPr>
          <w:rFonts w:hint="eastAsia" w:ascii="仿宋" w:hAnsi="仿宋" w:eastAsia="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四是</w:t>
      </w:r>
      <w:r>
        <w:rPr>
          <w:rFonts w:hint="eastAsia" w:ascii="仿宋" w:hAnsi="仿宋" w:eastAsia="仿宋"/>
          <w:sz w:val="32"/>
          <w:szCs w:val="32"/>
        </w:rPr>
        <w:t>进一步加大职工养老保险宣传力度，丰富宣传手段，创新宣传方式，切实提高养老保险宣传的覆盖面。</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五是</w:t>
      </w:r>
      <w:r>
        <w:rPr>
          <w:rFonts w:hint="eastAsia" w:ascii="仿宋" w:hAnsi="仿宋" w:eastAsia="仿宋"/>
          <w:sz w:val="32"/>
          <w:szCs w:val="32"/>
        </w:rPr>
        <w:t>创新退休人员服务工作机制，积极组织退休人员开展形式多样的文体活动，提升社会化管理水平和服务质量。</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六是</w:t>
      </w:r>
      <w:r>
        <w:rPr>
          <w:rFonts w:hint="eastAsia" w:ascii="仿宋" w:hAnsi="仿宋" w:eastAsia="仿宋"/>
          <w:sz w:val="32"/>
          <w:szCs w:val="32"/>
        </w:rPr>
        <w:t>全面开展职工养老保险经办风险管理专项行动，确保不发生系统性风险。</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七是</w:t>
      </w:r>
      <w:r>
        <w:rPr>
          <w:rFonts w:hint="eastAsia" w:ascii="仿宋" w:hAnsi="仿宋" w:eastAsia="仿宋"/>
          <w:sz w:val="32"/>
          <w:szCs w:val="32"/>
        </w:rPr>
        <w:t>在加强干部队伍自身建设上，切实提高人员素质，转变工作作风，提高服务水平和服务质量。</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sz w:val="32"/>
          <w:szCs w:val="32"/>
        </w:rPr>
      </w:pPr>
      <w:bookmarkStart w:id="0" w:name="_GoBack"/>
      <w:bookmarkEnd w:id="0"/>
    </w:p>
    <w:sectPr>
      <w:footerReference r:id="rId3" w:type="default"/>
      <w:pgSz w:w="11906" w:h="16838"/>
      <w:pgMar w:top="1440" w:right="1191" w:bottom="1440"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E0"/>
    <w:rsid w:val="000F0CE0"/>
    <w:rsid w:val="025072C3"/>
    <w:rsid w:val="0BBD159F"/>
    <w:rsid w:val="0D077B3D"/>
    <w:rsid w:val="0D483318"/>
    <w:rsid w:val="0F310BA8"/>
    <w:rsid w:val="11607880"/>
    <w:rsid w:val="13721948"/>
    <w:rsid w:val="14A76AFD"/>
    <w:rsid w:val="15BB7162"/>
    <w:rsid w:val="163B0DA1"/>
    <w:rsid w:val="1676232D"/>
    <w:rsid w:val="17EC075C"/>
    <w:rsid w:val="1A0762AF"/>
    <w:rsid w:val="24636D69"/>
    <w:rsid w:val="295F119F"/>
    <w:rsid w:val="2AB659B4"/>
    <w:rsid w:val="2FEF3CAB"/>
    <w:rsid w:val="39044383"/>
    <w:rsid w:val="39D45C6F"/>
    <w:rsid w:val="3D0A64DA"/>
    <w:rsid w:val="4564114D"/>
    <w:rsid w:val="47EE42C5"/>
    <w:rsid w:val="484F6C64"/>
    <w:rsid w:val="4AD20550"/>
    <w:rsid w:val="4FE53B69"/>
    <w:rsid w:val="50E72C26"/>
    <w:rsid w:val="50EA4AFB"/>
    <w:rsid w:val="527A2230"/>
    <w:rsid w:val="54E75479"/>
    <w:rsid w:val="58445406"/>
    <w:rsid w:val="58C026EC"/>
    <w:rsid w:val="5CE10D68"/>
    <w:rsid w:val="5CE96875"/>
    <w:rsid w:val="5D573910"/>
    <w:rsid w:val="650A2A8F"/>
    <w:rsid w:val="6A4E02BC"/>
    <w:rsid w:val="750C7C1C"/>
    <w:rsid w:val="7D093384"/>
    <w:rsid w:val="7EEE1670"/>
    <w:rsid w:val="7F4A1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2020-09-04T07:33:00Z</dcterms:created>
  <dc:creator>@Forever</dc:creator>
  <cp:lastModifiedBy>@Forever</cp:lastModifiedBy>
  <cp:lastPrinted>2020-09-29T06:57:00Z</cp:lastPrinted>
  <dcterms:modified xsi:type="dcterms:W3CDTF">2020-11-17T08:37:13Z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