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寻乌县城市管理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局2021年政府信息公开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根据《中华人民共和国政府信息公开条例》规定，寻乌县城市管理局结合有关统计数据编制了《寻乌县城市管理局2021年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》。本年度报告中所列数据的统计期限自2021年1月1日起至2021年12月31日止。本年度报告的电子版可以从寻乌县人民政府网站（www.xunwu.gov.cn）下载。如对报告有任何疑问，请与寻乌县城市管理局联系（地址：寻乌县长宁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长宁街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，联系电话：0797—2831162，邮编：342200）。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(一)监督保障。我局办公室配备了专职政务信息公开工作人员,严格落实“三审三校”制度,办公室主任和分管领导层层审核,确保公开的信息准确无误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、合法合规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同时我局建立了社会评议制度，多渠道、多方式地广泛听取公众对我局政务公开工作的批评、意见和建议。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(二)主动公开情况。2021年,我局在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正确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领导下,在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政府办的具体指导下,持续推进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县城管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局政务公开标准化规范化工作,把政务信息公开工作作为加强社会监督、建设“五型”政府的重要抓手,全面推进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城管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领域政务决策公开、执行公开、管理公开、服务公开、结果公开,推动基层政务公开全覆盖,切实保障人民群众的知情权、参与权、表达权、监督权。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截止2021年12月31日,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县城管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政府门户网站主动公开政府信息1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动态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条，公告公示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条，财经信息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条，执法信息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条。在“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寻乌县城市管理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局”微信公众号上发布文章信息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157</w:t>
      </w:r>
      <w:r>
        <w:rPr>
          <w:rFonts w:hint="eastAsia" w:ascii="仿宋_GB2312" w:hAnsi="仿宋_GB2312" w:eastAsia="仿宋_GB2312" w:cs="仿宋_GB2312"/>
          <w:sz w:val="32"/>
          <w:szCs w:val="32"/>
        </w:rPr>
        <w:t>条,平均月更新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年未依职权制定政策文件或规范性文件。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(三)依申请公开情况。本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2021年度未收到政府信息公开申请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(四)政府信息管理。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建立了政务信息公开审查机制,严格执行“三审三校”制度。由业务股(室)提出信息公开要求,局办公室予以审核校对,局领导同意后由局办公室在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寻乌县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人民政府网站政务公开栏予以发布。按照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政府有关政府信息管理动态调整、政府信息标准化规范化信息化管理等方面的要求,我局认真做好文件的主动公开、依申请公开等工作。加强舆情应对,积极对接网信部门,做好网评工作。同时,积极主动参加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组织的政务公开工作培训,将政府信息公开工作纳入年度机关股室绩效考核。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经检查，202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年我局已公开信息未涉及国家秘密、商业秘密和个人隐私，更未出现危害国家安全、公共安全、经济安全和影响社会稳定的信息。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政府信息公开平台建设。本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2021年度主要通过政府门户网站和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“寻乌县城市管理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微信公众号进行信息发布。根据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政府相关文件要求,完善了我局信息公开目录，内容涵盖信息公开指南、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年度报告、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政务动态、公告公示、机构职能、领导简历及分工、城市综合执法、财政预决算等</w:t>
      </w:r>
      <w:r>
        <w:rPr>
          <w:rFonts w:hint="eastAsia" w:ascii="仿宋_GB2312" w:hAnsi="仿宋_GB2312" w:eastAsia="仿宋_GB2312" w:cs="仿宋_GB2312"/>
          <w:sz w:val="32"/>
          <w:szCs w:val="32"/>
        </w:rPr>
        <w:t>栏目。</w:t>
      </w:r>
    </w:p>
    <w:bookmarkEnd w:id="0"/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5"/>
        <w:tblpPr w:leftFromText="180" w:rightFromText="180" w:vertAnchor="text" w:horzAnchor="page" w:tblpXSpec="center" w:tblpY="568"/>
        <w:tblOverlap w:val="never"/>
        <w:tblW w:w="83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2151"/>
        <w:gridCol w:w="2151"/>
        <w:gridCol w:w="2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21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本年制发件数</w:t>
            </w:r>
          </w:p>
        </w:tc>
        <w:tc>
          <w:tcPr>
            <w:tcW w:w="21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本年废止件数</w:t>
            </w:r>
          </w:p>
        </w:tc>
        <w:tc>
          <w:tcPr>
            <w:tcW w:w="2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规章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行政规范性文件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行政许可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64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行政处罚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"/>
              </w:rPr>
              <w:t>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行政强制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行政事业性收费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"/>
              </w:rPr>
              <w:t>118.62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5"/>
        <w:tblW w:w="89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869"/>
        <w:gridCol w:w="2977"/>
        <w:gridCol w:w="789"/>
        <w:gridCol w:w="667"/>
        <w:gridCol w:w="566"/>
        <w:gridCol w:w="634"/>
        <w:gridCol w:w="716"/>
        <w:gridCol w:w="517"/>
        <w:gridCol w:w="5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5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44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5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89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310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57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455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企业</w:t>
            </w:r>
          </w:p>
        </w:tc>
        <w:tc>
          <w:tcPr>
            <w:tcW w:w="566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机构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17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557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5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0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8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70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70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45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0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rPr>
          <w:rFonts w:hint="eastAsia"/>
        </w:rPr>
      </w:pP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5"/>
        <w:tblW w:w="89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599"/>
        <w:gridCol w:w="599"/>
        <w:gridCol w:w="599"/>
        <w:gridCol w:w="599"/>
        <w:gridCol w:w="600"/>
        <w:gridCol w:w="600"/>
        <w:gridCol w:w="600"/>
        <w:gridCol w:w="601"/>
        <w:gridCol w:w="601"/>
        <w:gridCol w:w="601"/>
        <w:gridCol w:w="601"/>
        <w:gridCol w:w="6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29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600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5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29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30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维持</w:t>
            </w:r>
          </w:p>
        </w:tc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维持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存在的主要问题和困难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信息公开宣传力度不大,群众对信息公开内容关注度不高，</w:t>
      </w:r>
      <w:r>
        <w:rPr>
          <w:rFonts w:hint="eastAsia" w:ascii="仿宋_GB2312" w:hAnsi="仿宋_GB2312" w:eastAsia="仿宋_GB2312" w:cs="仿宋_GB2312"/>
          <w:sz w:val="32"/>
          <w:szCs w:val="32"/>
        </w:rPr>
        <w:t>网上互动功能还有待健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numPr>
          <w:ilvl w:val="0"/>
          <w:numId w:val="3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解决办法和改进措施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1.健全政府信息公开发布协调机制，完善机构设置，理顺工作流程，保障人员经费，确保政府信息发布质量和数量。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2.进一步拓展网上互动能力，提升服务水平。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640" w:firstLineChars="20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1.本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单位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2021年度无收取信息处理费情况。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640" w:firstLineChars="200"/>
        <w:jc w:val="left"/>
        <w:rPr>
          <w:rFonts w:hint="eastAsia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2.寻乌县城市管理局政务信息公开网站网址为http://www.xunwu.gov.cn/xwxxxgk/xw9550/xxgk_bmtt.shtml,如需了解更多县城管局政务信息,请登录查询。</w:t>
      </w: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CEF097"/>
    <w:multiLevelType w:val="singleLevel"/>
    <w:tmpl w:val="C8CEF09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11E22B1"/>
    <w:multiLevelType w:val="singleLevel"/>
    <w:tmpl w:val="F11E22B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EC12279"/>
    <w:multiLevelType w:val="singleLevel"/>
    <w:tmpl w:val="4EC1227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YThhNDM5ZjczZDZkMzBlYTI1OGMyYzRlY2RlNzUifQ=="/>
  </w:docVars>
  <w:rsids>
    <w:rsidRoot w:val="00000000"/>
    <w:rsid w:val="0FDC2B88"/>
    <w:rsid w:val="10C71C75"/>
    <w:rsid w:val="112B1614"/>
    <w:rsid w:val="13747E36"/>
    <w:rsid w:val="28904CC6"/>
    <w:rsid w:val="297C2B8C"/>
    <w:rsid w:val="378E64BD"/>
    <w:rsid w:val="38DD156C"/>
    <w:rsid w:val="39F4436A"/>
    <w:rsid w:val="7C39174E"/>
    <w:rsid w:val="7F4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2097</Words>
  <Characters>2255</Characters>
  <Lines>0</Lines>
  <Paragraphs>0</Paragraphs>
  <TotalTime>1</TotalTime>
  <ScaleCrop>false</ScaleCrop>
  <LinksUpToDate>false</LinksUpToDate>
  <CharactersWithSpaces>2255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2022-11-29T01:47:00Z</dcterms:created>
  <dc:creator>Administrator.USER-20190604BD</dc:creator>
  <cp:lastModifiedBy>罗建华</cp:lastModifiedBy>
  <dcterms:modified xsi:type="dcterms:W3CDTF">2023-01-17T00:57:58Z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AB3B16A7083143E5B8AE7E4AE247D12B</vt:lpwstr>
  </property>
</Properties>
</file>