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0" w:beforeAutospacing="1" w:after="100" w:afterAutospacing="1" w:line="560" w:lineRule="atLeast"/>
        <w:ind w:left="0" w:right="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赣州市寻乌生态环境局2023年政府信息公开工作年度报告</w:t>
      </w:r>
    </w:p>
    <w:p>
      <w:pPr>
        <w:keepNext w:val="0"/>
        <w:keepLines w:val="0"/>
        <w:widowControl/>
        <w:suppressLineNumbers w:val="0"/>
        <w:spacing w:before="100" w:beforeAutospacing="1" w:after="100" w:afterAutospacing="1" w:line="560" w:lineRule="atLeast"/>
        <w:ind w:left="0" w:right="0"/>
        <w:jc w:val="both"/>
      </w:pPr>
      <w:r>
        <w:rPr>
          <w:rFonts w:hint="eastAsia" w:ascii="仿宋_GB2312" w:hAnsi="仿宋_GB2312" w:eastAsia="仿宋_GB2312" w:cs="仿宋_GB2312"/>
          <w:kern w:val="0"/>
          <w:sz w:val="32"/>
          <w:szCs w:val="32"/>
          <w:lang w:val="en-US" w:eastAsia="zh-CN" w:bidi="ar"/>
        </w:rPr>
        <w:t xml:space="preserve">    </w:t>
      </w:r>
      <w:r>
        <w:rPr>
          <w:rFonts w:ascii="仿宋_GB2312" w:hAnsi="仿宋_GB2312" w:eastAsia="仿宋_GB2312" w:cs="仿宋_GB2312"/>
          <w:kern w:val="0"/>
          <w:sz w:val="32"/>
          <w:szCs w:val="32"/>
          <w:lang w:val="en-US" w:eastAsia="zh-CN" w:bidi="ar"/>
        </w:rPr>
        <w:t>根据《中华人民共和国政府信息公开条例》相关要求，我局编制了《赣州市寻乌生态环境局2023年政府信息公开工作年度报告》。本年度报告中所列数据的统计期限自2023年1月1日起至2023年12月31日止。本年度报告的电子版可以从寻乌县人民政府网站（www.xunwu.gov.cn）下载。如对报告有任何疑问，请与赣州市寻乌生态环境局联系（地址：寻乌县岳家庄大道95号，联系电话：0797-2846050，邮编：342200）。</w:t>
      </w:r>
    </w:p>
    <w:p>
      <w:pPr>
        <w:keepNext w:val="0"/>
        <w:keepLines w:val="0"/>
        <w:widowControl/>
        <w:suppressLineNumbers w:val="0"/>
        <w:spacing w:before="100" w:beforeAutospacing="1" w:after="100" w:afterAutospacing="1" w:line="560" w:lineRule="atLeast"/>
        <w:ind w:left="0" w:right="0"/>
        <w:jc w:val="both"/>
      </w:pPr>
      <w:r>
        <w:rPr>
          <w:rFonts w:ascii="黑体" w:hAnsi="宋体" w:eastAsia="黑体" w:cs="黑体"/>
          <w:kern w:val="0"/>
          <w:sz w:val="32"/>
          <w:szCs w:val="32"/>
          <w:lang w:val="en-US" w:eastAsia="zh-CN" w:bidi="ar"/>
        </w:rPr>
        <w:t>     一、总体情况</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ascii="楷体_GB2312" w:hAnsi="Calibri" w:eastAsia="楷体_GB2312" w:cs="楷体_GB2312"/>
          <w:kern w:val="2"/>
          <w:sz w:val="32"/>
          <w:szCs w:val="32"/>
          <w:lang w:val="en-US" w:eastAsia="zh-CN" w:bidi="ar"/>
        </w:rPr>
        <w:t>（一）主动公开情况</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hint="eastAsia" w:ascii="仿宋_GB2312" w:hAnsi="Calibri" w:eastAsia="仿宋_GB2312" w:cs="仿宋_GB2312"/>
          <w:kern w:val="2"/>
          <w:sz w:val="32"/>
          <w:szCs w:val="32"/>
          <w:lang w:val="en-US" w:eastAsia="zh-CN" w:bidi="ar"/>
        </w:rPr>
        <w:t>2023年，赣州市寻乌生态环境局通过寻乌县人民政府网站主动发布信息373条、“赣州市寻乌生态环境局”微信公众号发布信息299条、“赣州市寻乌生态环境局”微博发布信息137条。2023年，未依职权制定政策文件、规划计划。</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hint="eastAsia" w:ascii="楷体_GB2312" w:hAnsi="Calibri" w:eastAsia="楷体_GB2312" w:cs="楷体_GB2312"/>
          <w:kern w:val="2"/>
          <w:sz w:val="32"/>
          <w:szCs w:val="32"/>
          <w:lang w:val="en-US" w:eastAsia="zh-CN" w:bidi="ar"/>
        </w:rPr>
        <w:t>（二）依申请公开情况</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hint="eastAsia" w:ascii="仿宋_GB2312" w:hAnsi="Calibri" w:eastAsia="仿宋_GB2312" w:cs="仿宋_GB2312"/>
          <w:kern w:val="2"/>
          <w:sz w:val="32"/>
          <w:szCs w:val="32"/>
          <w:lang w:val="en-US" w:eastAsia="zh-CN" w:bidi="ar"/>
        </w:rPr>
        <w:t>2023年，我局未收到政府信息公开申请，无被申请行政复议、提起行政诉讼的情况。</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hint="eastAsia" w:ascii="楷体_GB2312" w:hAnsi="Calibri" w:eastAsia="楷体_GB2312" w:cs="楷体_GB2312"/>
          <w:kern w:val="2"/>
          <w:sz w:val="32"/>
          <w:szCs w:val="32"/>
          <w:lang w:val="en-US" w:eastAsia="zh-CN" w:bidi="ar"/>
        </w:rPr>
        <w:t>（三）政府信息管理情况</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hint="eastAsia" w:ascii="仿宋_GB2312" w:hAnsi="Calibri" w:eastAsia="仿宋_GB2312" w:cs="仿宋_GB2312"/>
          <w:kern w:val="2"/>
          <w:sz w:val="32"/>
          <w:szCs w:val="32"/>
          <w:lang w:val="en-US" w:eastAsia="zh-CN" w:bidi="ar"/>
        </w:rPr>
        <w:t>2023年，我局制定完善了《赣州市寻乌生态环境局信息发布“三审三校”制度》《赣州市寻乌生态环境局政府网站内容保障制度》等相关信息公开制度。同时明确专人负责，按照《中华人民共和国政府信息公开条例》相关要求，切实抓好政府信息公开各项工作。</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hint="eastAsia" w:ascii="楷体_GB2312" w:hAnsi="Calibri" w:eastAsia="楷体_GB2312" w:cs="楷体_GB2312"/>
          <w:kern w:val="2"/>
          <w:sz w:val="32"/>
          <w:szCs w:val="32"/>
          <w:lang w:val="en-US" w:eastAsia="zh-CN" w:bidi="ar"/>
        </w:rPr>
        <w:t>（四）政府信息公开平台建设情况</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both"/>
      </w:pPr>
      <w:r>
        <w:rPr>
          <w:rFonts w:hint="eastAsia" w:ascii="仿宋_GB2312" w:hAnsi="Times New Roman" w:eastAsia="仿宋_GB2312" w:cs="仿宋_GB2312"/>
          <w:kern w:val="2"/>
          <w:sz w:val="32"/>
          <w:szCs w:val="32"/>
          <w:lang w:val="en-US" w:eastAsia="zh-CN" w:bidi="ar"/>
        </w:rPr>
        <w:t>充分用好在</w:t>
      </w:r>
      <w:r>
        <w:rPr>
          <w:rFonts w:hint="eastAsia" w:ascii="仿宋_GB2312" w:hAnsi="Calibri" w:eastAsia="仿宋_GB2312" w:cs="仿宋_GB2312"/>
          <w:kern w:val="2"/>
          <w:sz w:val="32"/>
          <w:szCs w:val="32"/>
          <w:lang w:val="en-US" w:eastAsia="zh-CN" w:bidi="ar"/>
        </w:rPr>
        <w:t>寻乌县人民政府网站</w:t>
      </w:r>
      <w:r>
        <w:rPr>
          <w:rFonts w:hint="eastAsia" w:ascii="仿宋_GB2312" w:hAnsi="Times New Roman" w:eastAsia="仿宋_GB2312" w:cs="仿宋_GB2312"/>
          <w:kern w:val="2"/>
          <w:sz w:val="32"/>
          <w:szCs w:val="32"/>
          <w:lang w:val="en-US" w:eastAsia="zh-CN" w:bidi="ar"/>
        </w:rPr>
        <w:t>上增设的“重大战略部署落实——三大战略八大行动”等专题专栏，积极主动公开美丽寻乌建设行动推进情况及生态环境保护工作落实情况等，持续加强主动公开工作，进一步拓展主动公开内容，进一步提高群众对生态环境保护工作的认知度、参与度、满意度。</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hint="eastAsia" w:ascii="楷体_GB2312" w:hAnsi="Calibri" w:eastAsia="楷体_GB2312" w:cs="楷体_GB2312"/>
          <w:kern w:val="2"/>
          <w:sz w:val="32"/>
          <w:szCs w:val="32"/>
          <w:lang w:val="en-US" w:eastAsia="zh-CN" w:bidi="ar"/>
        </w:rPr>
        <w:t>（五）监督保障情况</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left"/>
      </w:pPr>
      <w:r>
        <w:rPr>
          <w:rFonts w:hint="eastAsia" w:ascii="仿宋_GB2312" w:hAnsi="Calibri" w:eastAsia="仿宋_GB2312" w:cs="仿宋_GB2312"/>
          <w:kern w:val="2"/>
          <w:sz w:val="32"/>
          <w:szCs w:val="32"/>
          <w:lang w:val="en-US" w:eastAsia="zh-CN" w:bidi="ar"/>
        </w:rPr>
        <w:t>我局高度重视政务公开工作，将政务公开工作列入年终考核，局主要领导多次听取政务公开情况汇报，亲自调度解决政务公开工作问题，召开了《中华人民共和国政府信息公开条例》和政务公开业务交流培训会。按照中央、省、市以及县有关决策部署，及时做好政府信息公开各项工作，持续加大政府信息公开工作的推进力度，把</w:t>
      </w:r>
      <w:r>
        <w:rPr>
          <w:rFonts w:hint="eastAsia" w:ascii="仿宋_GB2312" w:eastAsia="仿宋_GB2312" w:cs="仿宋_GB2312"/>
          <w:kern w:val="2"/>
          <w:sz w:val="32"/>
          <w:szCs w:val="32"/>
          <w:lang w:val="en-US" w:eastAsia="zh-CN" w:bidi="ar"/>
        </w:rPr>
        <w:t>好</w:t>
      </w:r>
      <w:r>
        <w:rPr>
          <w:rFonts w:hint="eastAsia" w:ascii="仿宋_GB2312" w:hAnsi="Calibri" w:eastAsia="仿宋_GB2312" w:cs="仿宋_GB2312"/>
          <w:kern w:val="2"/>
          <w:sz w:val="32"/>
          <w:szCs w:val="32"/>
          <w:lang w:val="en-US" w:eastAsia="zh-CN" w:bidi="ar"/>
        </w:rPr>
        <w:t>信息发布审核关，</w:t>
      </w:r>
      <w:bookmarkStart w:id="0" w:name="_GoBack"/>
      <w:bookmarkEnd w:id="0"/>
      <w:r>
        <w:rPr>
          <w:rFonts w:hint="eastAsia" w:ascii="仿宋_GB2312" w:hAnsi="Calibri" w:eastAsia="仿宋_GB2312" w:cs="仿宋_GB2312"/>
          <w:kern w:val="2"/>
          <w:sz w:val="32"/>
          <w:szCs w:val="32"/>
          <w:lang w:val="en-US" w:eastAsia="zh-CN" w:bidi="ar"/>
        </w:rPr>
        <w:t>在发现存在相关错敏词等问题时，及时整改到位，同时，加强日常检查，确保信息按要求及时更新。</w:t>
      </w:r>
      <w:r>
        <w:rPr>
          <w:rFonts w:hint="eastAsia" w:ascii="仿宋_GB2312" w:hAnsi="仿宋_GB2312" w:eastAsia="仿宋_GB2312" w:cs="仿宋_GB2312"/>
          <w:kern w:val="0"/>
          <w:sz w:val="32"/>
          <w:szCs w:val="32"/>
          <w:lang w:val="en-US" w:eastAsia="zh-CN" w:bidi="ar"/>
        </w:rPr>
        <w:t>我局主动通过问卷调查等方式收集群众意见，形成社会评议，未发生重大网络安全事件，未发生因不履行政务公开义务而发生的责任追究情况。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left"/>
      </w:pPr>
      <w:r>
        <w:rPr>
          <w:rFonts w:hint="eastAsia" w:ascii="黑体" w:hAnsi="宋体" w:eastAsia="黑体" w:cs="黑体"/>
          <w:spacing w:val="0"/>
          <w:kern w:val="0"/>
          <w:sz w:val="32"/>
          <w:szCs w:val="32"/>
          <w:lang w:val="en-US" w:eastAsia="zh-CN" w:bidi="ar"/>
        </w:rPr>
        <w:t>二、主动公开政府信息情况</w:t>
      </w:r>
    </w:p>
    <w:tbl>
      <w:tblPr>
        <w:tblStyle w:val="4"/>
        <w:tblW w:w="86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60"/>
        <w:gridCol w:w="2151"/>
        <w:gridCol w:w="2151"/>
        <w:gridCol w:w="2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651" w:type="dxa"/>
            <w:gridSpan w:val="4"/>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06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信息内容</w:t>
            </w:r>
          </w:p>
        </w:tc>
        <w:tc>
          <w:tcPr>
            <w:tcW w:w="215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本年制发件数</w:t>
            </w:r>
          </w:p>
        </w:tc>
        <w:tc>
          <w:tcPr>
            <w:tcW w:w="215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本年废止件数</w:t>
            </w:r>
          </w:p>
        </w:tc>
        <w:tc>
          <w:tcPr>
            <w:tcW w:w="22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jc w:val="center"/>
        </w:trPr>
        <w:tc>
          <w:tcPr>
            <w:tcW w:w="206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规章</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22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206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行政规范性文件</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22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8651"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06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信息内容</w:t>
            </w:r>
          </w:p>
        </w:tc>
        <w:tc>
          <w:tcPr>
            <w:tcW w:w="6591"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jc w:val="center"/>
        </w:trPr>
        <w:tc>
          <w:tcPr>
            <w:tcW w:w="206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行政许可</w:t>
            </w:r>
          </w:p>
        </w:tc>
        <w:tc>
          <w:tcPr>
            <w:tcW w:w="6591"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lang w:val="en-US"/>
              </w:rPr>
            </w:pPr>
            <w:r>
              <w:rPr>
                <w:rFonts w:hint="eastAsia" w:ascii="仿宋_GB2312" w:eastAsia="仿宋_GB2312" w:cs="仿宋_GB2312"/>
                <w:kern w:val="0"/>
                <w:sz w:val="22"/>
                <w:szCs w:val="22"/>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651"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jc w:val="center"/>
        </w:trPr>
        <w:tc>
          <w:tcPr>
            <w:tcW w:w="206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信息内容</w:t>
            </w:r>
          </w:p>
        </w:tc>
        <w:tc>
          <w:tcPr>
            <w:tcW w:w="6591"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206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行政处罚</w:t>
            </w:r>
          </w:p>
        </w:tc>
        <w:tc>
          <w:tcPr>
            <w:tcW w:w="6591"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2"/>
                <w:szCs w:val="22"/>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2060"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行政强制</w:t>
            </w:r>
          </w:p>
        </w:tc>
        <w:tc>
          <w:tcPr>
            <w:tcW w:w="6591"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651"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jc w:val="center"/>
        </w:trPr>
        <w:tc>
          <w:tcPr>
            <w:tcW w:w="2060" w:type="dxa"/>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信息内容</w:t>
            </w:r>
          </w:p>
        </w:tc>
        <w:tc>
          <w:tcPr>
            <w:tcW w:w="6591"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2060" w:type="dxa"/>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行政事业性收费</w:t>
            </w:r>
          </w:p>
        </w:tc>
        <w:tc>
          <w:tcPr>
            <w:tcW w:w="6591"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val="0"/>
              <w:suppressLineNumbers w:val="0"/>
              <w:autoSpaceDE w:val="0"/>
              <w:autoSpaceDN/>
              <w:spacing w:before="100" w:beforeAutospacing="1" w:after="100" w:afterAutospacing="1" w:line="560" w:lineRule="exact"/>
              <w:ind w:left="0" w:right="0"/>
              <w:jc w:val="center"/>
            </w:pPr>
            <w:r>
              <w:rPr>
                <w:rFonts w:hint="eastAsia" w:ascii="仿宋_GB2312" w:hAnsi="Calibri" w:eastAsia="仿宋_GB2312" w:cs="仿宋_GB2312"/>
                <w:kern w:val="0"/>
                <w:sz w:val="22"/>
                <w:szCs w:val="22"/>
                <w:lang w:val="en-US" w:eastAsia="zh-CN" w:bidi="ar"/>
              </w:rPr>
              <w:t>52</w:t>
            </w:r>
          </w:p>
        </w:tc>
      </w:tr>
    </w:tbl>
    <w:p>
      <w:pPr>
        <w:pStyle w:val="3"/>
        <w:keepNext w:val="0"/>
        <w:keepLines w:val="0"/>
        <w:widowControl w:val="0"/>
        <w:suppressLineNumbers w:val="0"/>
        <w:autoSpaceDE w:val="0"/>
        <w:autoSpaceDN/>
        <w:spacing w:before="100" w:beforeAutospacing="1" w:after="100" w:afterAutospacing="1" w:line="560" w:lineRule="exact"/>
        <w:ind w:left="0" w:leftChars="0" w:right="0" w:firstLine="640" w:firstLineChars="200"/>
      </w:pPr>
      <w:r>
        <w:rPr>
          <w:rFonts w:hint="eastAsia" w:ascii="黑体" w:hAnsi="宋体" w:eastAsia="黑体" w:cs="黑体"/>
          <w:kern w:val="2"/>
          <w:sz w:val="32"/>
          <w:szCs w:val="32"/>
        </w:rPr>
        <w:t>三、收到和处理政府信息公开申请情况</w:t>
      </w:r>
    </w:p>
    <w:tbl>
      <w:tblPr>
        <w:tblStyle w:val="4"/>
        <w:tblW w:w="869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795"/>
        <w:gridCol w:w="2908"/>
        <w:gridCol w:w="776"/>
        <w:gridCol w:w="657"/>
        <w:gridCol w:w="559"/>
        <w:gridCol w:w="625"/>
        <w:gridCol w:w="705"/>
        <w:gridCol w:w="512"/>
        <w:gridCol w:w="5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430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（本列数据的勾稽关系为：第一项加第二项之和，等于第三项加第四项之和）</w:t>
            </w:r>
          </w:p>
        </w:tc>
        <w:tc>
          <w:tcPr>
            <w:tcW w:w="4384"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430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76"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自然人</w:t>
            </w:r>
          </w:p>
        </w:tc>
        <w:tc>
          <w:tcPr>
            <w:tcW w:w="3058"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法人或其他组织</w:t>
            </w:r>
          </w:p>
        </w:tc>
        <w:tc>
          <w:tcPr>
            <w:tcW w:w="550"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14" w:hRule="atLeast"/>
          <w:jc w:val="center"/>
        </w:trPr>
        <w:tc>
          <w:tcPr>
            <w:tcW w:w="430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76"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商业</w:t>
            </w:r>
          </w:p>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企业</w:t>
            </w:r>
          </w:p>
        </w:tc>
        <w:tc>
          <w:tcPr>
            <w:tcW w:w="5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科研</w:t>
            </w:r>
          </w:p>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机构</w:t>
            </w:r>
          </w:p>
        </w:tc>
        <w:tc>
          <w:tcPr>
            <w:tcW w:w="62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社会公益组织</w:t>
            </w:r>
          </w:p>
        </w:tc>
        <w:tc>
          <w:tcPr>
            <w:tcW w:w="70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法律服务机构</w:t>
            </w:r>
          </w:p>
        </w:tc>
        <w:tc>
          <w:tcPr>
            <w:tcW w:w="512"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其他</w:t>
            </w:r>
          </w:p>
        </w:tc>
        <w:tc>
          <w:tcPr>
            <w:tcW w:w="550"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430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一、本年新收政府信息公开申请数量</w:t>
            </w:r>
          </w:p>
        </w:tc>
        <w:tc>
          <w:tcPr>
            <w:tcW w:w="7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2"/>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0 </w:t>
            </w:r>
          </w:p>
        </w:tc>
        <w:tc>
          <w:tcPr>
            <w:tcW w:w="5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4307"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二、上年结转政府信息公开申请数量</w:t>
            </w:r>
          </w:p>
        </w:tc>
        <w:tc>
          <w:tcPr>
            <w:tcW w:w="7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604" w:type="dxa"/>
            <w:vMerge w:val="restart"/>
            <w:tcBorders>
              <w:top w:val="nil"/>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三、本年度办理结果</w:t>
            </w:r>
          </w:p>
        </w:tc>
        <w:tc>
          <w:tcPr>
            <w:tcW w:w="3703" w:type="dxa"/>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（一）予以公开</w:t>
            </w:r>
          </w:p>
        </w:tc>
        <w:tc>
          <w:tcPr>
            <w:tcW w:w="7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 0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1"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3703" w:type="dxa"/>
            <w:gridSpan w:val="2"/>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（二）部分公开（区分处理的，只计这一情形，不计其他情形）</w:t>
            </w:r>
          </w:p>
        </w:tc>
        <w:tc>
          <w:tcPr>
            <w:tcW w:w="7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restart"/>
            <w:tcBorders>
              <w:top w:val="nil"/>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（三）不予公开</w:t>
            </w: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1.属于国家秘密</w:t>
            </w:r>
          </w:p>
        </w:tc>
        <w:tc>
          <w:tcPr>
            <w:tcW w:w="776"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2.其他法律行政法规禁止公开</w:t>
            </w:r>
          </w:p>
        </w:tc>
        <w:tc>
          <w:tcPr>
            <w:tcW w:w="776"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3.危及“三安全一稳定”</w:t>
            </w:r>
          </w:p>
        </w:tc>
        <w:tc>
          <w:tcPr>
            <w:tcW w:w="776"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4.保护第三方合法权益</w:t>
            </w:r>
          </w:p>
        </w:tc>
        <w:tc>
          <w:tcPr>
            <w:tcW w:w="77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5.属于三类内部事务信息</w:t>
            </w:r>
          </w:p>
        </w:tc>
        <w:tc>
          <w:tcPr>
            <w:tcW w:w="77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6.属于四类过程性信息</w:t>
            </w:r>
          </w:p>
        </w:tc>
        <w:tc>
          <w:tcPr>
            <w:tcW w:w="77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7.属于行政执法案卷</w:t>
            </w:r>
          </w:p>
        </w:tc>
        <w:tc>
          <w:tcPr>
            <w:tcW w:w="77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8.属于行政查询事项</w:t>
            </w:r>
          </w:p>
        </w:tc>
        <w:tc>
          <w:tcPr>
            <w:tcW w:w="77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restart"/>
            <w:tcBorders>
              <w:top w:val="nil"/>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（四）无法提供</w:t>
            </w:r>
          </w:p>
        </w:tc>
        <w:tc>
          <w:tcPr>
            <w:tcW w:w="290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1.本机关不掌握相关政府信息</w:t>
            </w:r>
          </w:p>
        </w:tc>
        <w:tc>
          <w:tcPr>
            <w:tcW w:w="77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2.没有现成信息需要另行制作</w:t>
            </w:r>
          </w:p>
        </w:tc>
        <w:tc>
          <w:tcPr>
            <w:tcW w:w="77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3.补正后申请内容仍不明确</w:t>
            </w:r>
          </w:p>
        </w:tc>
        <w:tc>
          <w:tcPr>
            <w:tcW w:w="776"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4" w:space="0"/>
              <w:right w:val="single" w:color="auto" w:sz="8"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restart"/>
            <w:tcBorders>
              <w:top w:val="nil"/>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（五）不予处理</w:t>
            </w: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1.信访举报投诉类申请</w:t>
            </w:r>
          </w:p>
        </w:tc>
        <w:tc>
          <w:tcPr>
            <w:tcW w:w="776"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2.重复申请</w:t>
            </w:r>
          </w:p>
        </w:tc>
        <w:tc>
          <w:tcPr>
            <w:tcW w:w="776"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3.要求提供公开出版物</w:t>
            </w:r>
          </w:p>
        </w:tc>
        <w:tc>
          <w:tcPr>
            <w:tcW w:w="776"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4.无正当理由大量反复申请</w:t>
            </w:r>
          </w:p>
        </w:tc>
        <w:tc>
          <w:tcPr>
            <w:tcW w:w="776"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1"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both"/>
            </w:pPr>
            <w:r>
              <w:rPr>
                <w:rFonts w:hint="eastAsia" w:ascii="仿宋_GB2312" w:hAnsi="Calibri" w:eastAsia="仿宋_GB2312" w:cs="仿宋_GB2312"/>
                <w:kern w:val="0"/>
                <w:sz w:val="21"/>
                <w:szCs w:val="21"/>
                <w:lang w:val="en-US" w:eastAsia="zh-CN" w:bidi="ar"/>
              </w:rPr>
              <w:t>5.要求行政机关确认或重新出具已获取信息</w:t>
            </w:r>
          </w:p>
        </w:tc>
        <w:tc>
          <w:tcPr>
            <w:tcW w:w="776" w:type="dxa"/>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4" w:space="0"/>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6"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restart"/>
            <w:tcBorders>
              <w:top w:val="nil"/>
              <w:left w:val="nil"/>
              <w:bottom w:val="single" w:color="auto" w:sz="4" w:space="0"/>
              <w:right w:val="single" w:color="auto" w:sz="4"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（六）其他处理</w:t>
            </w:r>
          </w:p>
        </w:tc>
        <w:tc>
          <w:tcPr>
            <w:tcW w:w="290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both"/>
            </w:pPr>
            <w:r>
              <w:rPr>
                <w:rFonts w:hint="eastAsia" w:ascii="仿宋_GB2312" w:hAnsi="Calibri" w:eastAsia="仿宋_GB2312" w:cs="仿宋_GB2312"/>
                <w:kern w:val="0"/>
                <w:sz w:val="21"/>
                <w:szCs w:val="21"/>
                <w:lang w:val="en-US" w:eastAsia="zh-CN" w:bidi="ar"/>
              </w:rPr>
              <w:t>1.申请人无正当理由逾期不补正、行政机关不再处理其政府信息公开申请</w:t>
            </w:r>
          </w:p>
        </w:tc>
        <w:tc>
          <w:tcPr>
            <w:tcW w:w="776"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4"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both"/>
            </w:pPr>
            <w:r>
              <w:rPr>
                <w:rFonts w:hint="eastAsia" w:ascii="仿宋_GB2312" w:hAnsi="Calibri" w:eastAsia="仿宋_GB2312" w:cs="仿宋_GB2312"/>
                <w:kern w:val="0"/>
                <w:sz w:val="21"/>
                <w:szCs w:val="21"/>
                <w:lang w:val="en-US" w:eastAsia="zh-CN" w:bidi="ar"/>
              </w:rPr>
              <w:t>2.申请人逾期未按收费通知要求缴纳费用、行政机关不再处理其政府信息公开申请</w:t>
            </w:r>
          </w:p>
        </w:tc>
        <w:tc>
          <w:tcPr>
            <w:tcW w:w="776"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795" w:type="dxa"/>
            <w:vMerge w:val="continue"/>
            <w:tcBorders>
              <w:top w:val="nil"/>
              <w:left w:val="nil"/>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290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3.其他</w:t>
            </w:r>
          </w:p>
        </w:tc>
        <w:tc>
          <w:tcPr>
            <w:tcW w:w="7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5" w:hRule="atLeast"/>
          <w:jc w:val="center"/>
        </w:trPr>
        <w:tc>
          <w:tcPr>
            <w:tcW w:w="604" w:type="dxa"/>
            <w:vMerge w:val="continue"/>
            <w:tcBorders>
              <w:top w:val="nil"/>
              <w:left w:val="single" w:color="auto" w:sz="4" w:space="0"/>
              <w:bottom w:val="single" w:color="auto" w:sz="4" w:space="0"/>
              <w:right w:val="single" w:color="auto" w:sz="4" w:space="0"/>
            </w:tcBorders>
            <w:noWrap w:val="0"/>
            <w:tcMar>
              <w:left w:w="57" w:type="dxa"/>
              <w:right w:w="57" w:type="dxa"/>
            </w:tcMar>
            <w:vAlign w:val="center"/>
          </w:tcPr>
          <w:p>
            <w:pPr>
              <w:rPr>
                <w:rFonts w:hint="eastAsia" w:ascii="宋体"/>
                <w:sz w:val="24"/>
                <w:szCs w:val="24"/>
              </w:rPr>
            </w:pPr>
          </w:p>
        </w:tc>
        <w:tc>
          <w:tcPr>
            <w:tcW w:w="370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（七）总计</w:t>
            </w:r>
          </w:p>
        </w:tc>
        <w:tc>
          <w:tcPr>
            <w:tcW w:w="7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2"/>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430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left"/>
            </w:pPr>
            <w:r>
              <w:rPr>
                <w:rFonts w:hint="eastAsia" w:ascii="仿宋_GB2312" w:hAnsi="Calibri" w:eastAsia="仿宋_GB2312" w:cs="仿宋_GB2312"/>
                <w:kern w:val="0"/>
                <w:sz w:val="21"/>
                <w:szCs w:val="21"/>
                <w:lang w:val="en-US" w:eastAsia="zh-CN" w:bidi="ar"/>
              </w:rPr>
              <w:t>四、结转下年度继续办理</w:t>
            </w:r>
          </w:p>
        </w:tc>
        <w:tc>
          <w:tcPr>
            <w:tcW w:w="7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70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pPr>
            <w:r>
              <w:rPr>
                <w:rFonts w:hint="eastAsia" w:ascii="仿宋_GB2312" w:hAnsi="Calibri" w:eastAsia="仿宋_GB2312" w:cs="仿宋_GB2312"/>
                <w:kern w:val="0"/>
                <w:sz w:val="21"/>
                <w:szCs w:val="21"/>
                <w:lang w:val="en-US" w:eastAsia="zh-CN" w:bidi="ar"/>
              </w:rPr>
              <w:t>0</w:t>
            </w:r>
          </w:p>
        </w:tc>
        <w:tc>
          <w:tcPr>
            <w:tcW w:w="5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val="0"/>
              <w:suppressLineNumbers w:val="0"/>
              <w:autoSpaceDE w:val="0"/>
              <w:autoSpaceDN/>
              <w:spacing w:before="100" w:beforeAutospacing="1" w:after="100" w:afterAutospacing="1" w:line="560" w:lineRule="exact"/>
              <w:ind w:left="0" w:right="0"/>
              <w:jc w:val="center"/>
            </w:pPr>
            <w:r>
              <w:rPr>
                <w:rFonts w:hint="eastAsia" w:ascii="仿宋_GB2312" w:hAnsi="Calibri" w:eastAsia="仿宋_GB2312" w:cs="仿宋_GB2312"/>
                <w:kern w:val="0"/>
                <w:sz w:val="21"/>
                <w:szCs w:val="21"/>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0" w:firstLineChars="200"/>
        <w:jc w:val="left"/>
      </w:pPr>
      <w:r>
        <w:rPr>
          <w:rFonts w:hint="eastAsia" w:ascii="黑体" w:hAnsi="宋体" w:eastAsia="黑体" w:cs="黑体"/>
          <w:spacing w:val="0"/>
          <w:kern w:val="0"/>
          <w:sz w:val="32"/>
          <w:szCs w:val="32"/>
          <w:lang w:val="en-US" w:eastAsia="zh-CN" w:bidi="ar"/>
        </w:rPr>
        <w:t>四、政府信息公开行政复议、行政诉讼情况</w:t>
      </w:r>
    </w:p>
    <w:tbl>
      <w:tblPr>
        <w:tblStyle w:val="4"/>
        <w:tblW w:w="871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72"/>
        <w:gridCol w:w="570"/>
        <w:gridCol w:w="570"/>
        <w:gridCol w:w="585"/>
        <w:gridCol w:w="521"/>
        <w:gridCol w:w="598"/>
        <w:gridCol w:w="598"/>
        <w:gridCol w:w="599"/>
        <w:gridCol w:w="599"/>
        <w:gridCol w:w="599"/>
        <w:gridCol w:w="600"/>
        <w:gridCol w:w="600"/>
        <w:gridCol w:w="600"/>
        <w:gridCol w:w="601"/>
        <w:gridCol w:w="5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281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行政复议</w:t>
            </w:r>
          </w:p>
        </w:tc>
        <w:tc>
          <w:tcPr>
            <w:tcW w:w="5899"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57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结果维持</w:t>
            </w:r>
          </w:p>
        </w:tc>
        <w:tc>
          <w:tcPr>
            <w:tcW w:w="570"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纠正</w:t>
            </w:r>
          </w:p>
        </w:tc>
        <w:tc>
          <w:tcPr>
            <w:tcW w:w="570"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其他</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w:t>
            </w:r>
          </w:p>
        </w:tc>
        <w:tc>
          <w:tcPr>
            <w:tcW w:w="58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尚未</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审结</w:t>
            </w:r>
          </w:p>
        </w:tc>
        <w:tc>
          <w:tcPr>
            <w:tcW w:w="521"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总计</w:t>
            </w:r>
          </w:p>
        </w:tc>
        <w:tc>
          <w:tcPr>
            <w:tcW w:w="299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未经复议直接起诉</w:t>
            </w:r>
          </w:p>
        </w:tc>
        <w:tc>
          <w:tcPr>
            <w:tcW w:w="2906"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atLeast"/>
          <w:jc w:val="center"/>
        </w:trPr>
        <w:tc>
          <w:tcPr>
            <w:tcW w:w="57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7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70"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8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21"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9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维持</w:t>
            </w:r>
          </w:p>
        </w:tc>
        <w:tc>
          <w:tcPr>
            <w:tcW w:w="59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纠正</w:t>
            </w:r>
          </w:p>
        </w:tc>
        <w:tc>
          <w:tcPr>
            <w:tcW w:w="59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其他</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w:t>
            </w:r>
          </w:p>
        </w:tc>
        <w:tc>
          <w:tcPr>
            <w:tcW w:w="59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尚未</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审结</w:t>
            </w:r>
          </w:p>
        </w:tc>
        <w:tc>
          <w:tcPr>
            <w:tcW w:w="59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总计</w:t>
            </w:r>
          </w:p>
        </w:tc>
        <w:tc>
          <w:tcPr>
            <w:tcW w:w="60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维持</w:t>
            </w:r>
          </w:p>
        </w:tc>
        <w:tc>
          <w:tcPr>
            <w:tcW w:w="60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纠正</w:t>
            </w:r>
          </w:p>
        </w:tc>
        <w:tc>
          <w:tcPr>
            <w:tcW w:w="60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其他</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结果</w:t>
            </w:r>
          </w:p>
        </w:tc>
        <w:tc>
          <w:tcPr>
            <w:tcW w:w="60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尚未</w:t>
            </w:r>
          </w:p>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审结</w:t>
            </w:r>
          </w:p>
        </w:tc>
        <w:tc>
          <w:tcPr>
            <w:tcW w:w="5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7" w:hRule="atLeast"/>
          <w:jc w:val="center"/>
        </w:trPr>
        <w:tc>
          <w:tcPr>
            <w:tcW w:w="57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7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7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8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2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9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9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9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9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9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6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6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6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60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0"/>
              <w:jc w:val="center"/>
            </w:pPr>
            <w:r>
              <w:rPr>
                <w:rFonts w:hint="eastAsia" w:ascii="仿宋_GB2312" w:hAnsi="Calibri" w:eastAsia="仿宋_GB2312" w:cs="仿宋_GB2312"/>
                <w:kern w:val="0"/>
                <w:sz w:val="21"/>
                <w:szCs w:val="21"/>
                <w:lang w:val="en-US" w:eastAsia="zh-CN" w:bidi="ar"/>
              </w:rPr>
              <w:t>0</w:t>
            </w:r>
          </w:p>
        </w:tc>
        <w:tc>
          <w:tcPr>
            <w:tcW w:w="5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val="0"/>
              <w:suppressLineNumbers w:val="0"/>
              <w:autoSpaceDE w:val="0"/>
              <w:autoSpaceDN/>
              <w:spacing w:before="100" w:beforeAutospacing="1" w:after="100" w:afterAutospacing="1" w:line="560" w:lineRule="exact"/>
              <w:ind w:left="0" w:right="0"/>
              <w:jc w:val="center"/>
            </w:pPr>
            <w:r>
              <w:rPr>
                <w:rFonts w:hint="eastAsia" w:ascii="仿宋_GB2312" w:hAnsi="Calibri" w:eastAsia="仿宋_GB2312" w:cs="仿宋_GB2312"/>
                <w:kern w:val="0"/>
                <w:sz w:val="21"/>
                <w:szCs w:val="21"/>
                <w:lang w:val="en-US" w:eastAsia="zh-CN" w:bidi="ar"/>
              </w:rPr>
              <w:t>0</w:t>
            </w:r>
          </w:p>
        </w:tc>
      </w:tr>
    </w:tbl>
    <w:p>
      <w:pPr>
        <w:keepNext w:val="0"/>
        <w:keepLines w:val="0"/>
        <w:widowControl w:val="0"/>
        <w:suppressLineNumbers w:val="0"/>
        <w:autoSpaceDE w:val="0"/>
        <w:autoSpaceDN/>
        <w:spacing w:before="100" w:beforeAutospacing="1" w:after="100" w:afterAutospacing="1" w:line="560" w:lineRule="exact"/>
        <w:ind w:left="0" w:right="0" w:firstLine="640" w:firstLineChars="200"/>
        <w:jc w:val="both"/>
      </w:pPr>
      <w:r>
        <w:rPr>
          <w:rFonts w:hint="eastAsia" w:ascii="黑体" w:hAnsi="宋体" w:eastAsia="黑体" w:cs="黑体"/>
          <w:kern w:val="2"/>
          <w:sz w:val="32"/>
          <w:szCs w:val="32"/>
          <w:lang w:val="en-US" w:eastAsia="zh-CN" w:bidi="ar"/>
        </w:rPr>
        <w:t>五、存在的主要问题及改进情况</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both"/>
      </w:pPr>
      <w:r>
        <w:rPr>
          <w:rFonts w:hint="eastAsia" w:ascii="仿宋_GB2312" w:hAnsi="Calibri" w:eastAsia="仿宋_GB2312" w:cs="仿宋_GB2312"/>
          <w:kern w:val="2"/>
          <w:sz w:val="32"/>
          <w:szCs w:val="32"/>
          <w:lang w:val="en-US" w:eastAsia="zh-CN" w:bidi="ar"/>
        </w:rPr>
        <w:t>2023年，我局扎实推进政府信息公开工作并取得了一定成效，但对照上级的要求仍存在一定的差距，具体表现在信息公开深度不够、信息公开的形式和内容有待进一步丰富拓展等。</w:t>
      </w:r>
    </w:p>
    <w:p>
      <w:pPr>
        <w:keepNext w:val="0"/>
        <w:keepLines w:val="0"/>
        <w:widowControl w:val="0"/>
        <w:suppressLineNumbers w:val="0"/>
        <w:autoSpaceDE w:val="0"/>
        <w:autoSpaceDN/>
        <w:spacing w:before="100" w:beforeAutospacing="1" w:after="100" w:afterAutospacing="1" w:line="560" w:lineRule="exact"/>
        <w:ind w:left="0" w:right="0" w:firstLine="640" w:firstLineChars="200"/>
        <w:jc w:val="both"/>
      </w:pPr>
      <w:r>
        <w:rPr>
          <w:rFonts w:hint="eastAsia" w:ascii="仿宋_GB2312" w:hAnsi="Calibri" w:eastAsia="仿宋_GB2312" w:cs="仿宋_GB2312"/>
          <w:kern w:val="2"/>
          <w:sz w:val="32"/>
          <w:szCs w:val="32"/>
          <w:lang w:val="en-US" w:eastAsia="zh-CN" w:bidi="ar"/>
        </w:rPr>
        <w:t>下一步，我局将严格按照中央、省、市、县有关政府信息公开工作部署安排，深入推进政府信息公开工作。一是进一步提高政治站位。深刻认识做好政务公开工作的重要意义，将政务公开与日常工作紧密结合，强化工作举措，创新工作思路、工作方法，推动我局政务公开工作迈上新台阶。二是进一步加强宣传教育。建立健全政府信息公开制度，加强监督指导，并加强政府信息公开工作业务培训，不断提升工作人员综合素质和业务能力，确保政府信息公开工作顺利开展。三是进一步拓展公开深度。不断加大重点领域政府信息公开力度，加强生态环境保护相关政策解读，进一步丰富拓展信息公开的形式和内容，做到主动及时公开，不断规范公开内容。</w:t>
      </w:r>
    </w:p>
    <w:p>
      <w:pPr>
        <w:pStyle w:val="3"/>
        <w:keepNext w:val="0"/>
        <w:keepLines w:val="0"/>
        <w:widowControl w:val="0"/>
        <w:suppressLineNumbers w:val="0"/>
        <w:autoSpaceDE w:val="0"/>
        <w:autoSpaceDN/>
        <w:spacing w:before="100" w:beforeAutospacing="1" w:after="100" w:afterAutospacing="1" w:line="560" w:lineRule="exact"/>
        <w:ind w:left="0" w:right="0"/>
      </w:pPr>
      <w:r>
        <w:rPr>
          <w:rFonts w:hint="eastAsia" w:ascii="黑体" w:hAnsi="宋体" w:eastAsia="黑体" w:cs="黑体"/>
          <w:kern w:val="2"/>
          <w:sz w:val="32"/>
          <w:szCs w:val="32"/>
        </w:rPr>
        <w:t>    六、其他需要报告的事项</w:t>
      </w:r>
    </w:p>
    <w:p>
      <w:pPr>
        <w:pStyle w:val="3"/>
        <w:keepNext w:val="0"/>
        <w:keepLines w:val="0"/>
        <w:widowControl w:val="0"/>
        <w:suppressLineNumbers w:val="0"/>
        <w:autoSpaceDE w:val="0"/>
        <w:autoSpaceDN/>
        <w:spacing w:before="100" w:beforeAutospacing="1" w:after="100" w:afterAutospacing="1" w:line="560" w:lineRule="exact"/>
        <w:ind w:left="0" w:right="0"/>
      </w:pPr>
      <w:r>
        <w:rPr>
          <w:rFonts w:hint="eastAsia" w:ascii="仿宋_GB2312" w:eastAsia="仿宋_GB2312" w:cs="仿宋_GB2312"/>
          <w:kern w:val="2"/>
          <w:sz w:val="32"/>
          <w:szCs w:val="32"/>
        </w:rPr>
        <w:t>   </w:t>
      </w:r>
      <w:r>
        <w:rPr>
          <w:rFonts w:hint="eastAsia" w:ascii="仿宋_GB2312" w:eastAsia="仿宋_GB2312" w:cs="仿宋_GB2312"/>
          <w:sz w:val="32"/>
          <w:szCs w:val="32"/>
        </w:rPr>
        <w:t>2023年，我局无收取信息处理费情况，且无其他需要报告事项。 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Y2ZWI3ZWExMGQxZTcyMjY4MDIxNGM3NTMwYWVjMzgifQ=="/>
  </w:docVars>
  <w:rsids>
    <w:rsidRoot w:val="FFDFCC7C"/>
    <w:rsid w:val="2617030E"/>
    <w:rsid w:val="4E470E87"/>
    <w:rsid w:val="68B93261"/>
    <w:rsid w:val="7DFF0D4A"/>
    <w:rsid w:val="F79FCF3D"/>
    <w:rsid w:val="FFDFC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15.3333333333333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2024-03-13T11:30:00Z</dcterms:created>
  <dc:creator>user</dc:creator>
  <cp:lastModifiedBy>夏日柠檬茶</cp:lastModifiedBy>
  <dcterms:modified xsi:type="dcterms:W3CDTF">2024-04-19T08:37:14Z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657051FACAAE45DA85054C62997F5156_13</vt:lpwstr>
  </property>
</Properties>
</file>