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Times New Roman"/>
          <w:sz w:val="20"/>
        </w:rPr>
      </w:pPr>
    </w:p>
    <w:p>
      <w:pPr>
        <w:pStyle w:val="3"/>
        <w:spacing w:before="7"/>
        <w:rPr>
          <w:rFonts w:ascii="Times New Roman"/>
          <w:sz w:val="20"/>
        </w:rPr>
      </w:pPr>
    </w:p>
    <w:p>
      <w:pPr>
        <w:pStyle w:val="4"/>
      </w:pPr>
      <w:r>
        <w:t>丹溪乡人民政府 2020 年度部门决算</w:t>
      </w:r>
    </w:p>
    <w:p>
      <w:pPr>
        <w:pStyle w:val="3"/>
        <w:spacing w:before="6"/>
        <w:rPr>
          <w:rFonts w:ascii="黑体"/>
          <w:sz w:val="42"/>
        </w:rPr>
      </w:pPr>
    </w:p>
    <w:p>
      <w:pPr>
        <w:spacing w:before="0"/>
        <w:ind w:left="1354" w:right="1993" w:firstLine="0"/>
        <w:jc w:val="center"/>
        <w:rPr>
          <w:rFonts w:hint="eastAsia" w:ascii="Microsoft JhengHei" w:eastAsia="Microsoft JhengHei"/>
          <w:b/>
          <w:sz w:val="40"/>
        </w:rPr>
      </w:pPr>
      <w:r>
        <w:rPr>
          <w:rFonts w:hint="eastAsia" w:ascii="Microsoft JhengHei" w:eastAsia="Microsoft JhengHei"/>
          <w:b/>
          <w:sz w:val="40"/>
        </w:rPr>
        <w:t>目 录</w:t>
      </w:r>
      <w:r>
        <w:rPr>
          <w:rFonts w:hint="eastAsia" w:ascii="Microsoft JhengHei" w:eastAsia="Microsoft JhengHei"/>
          <w:b/>
          <w:w w:val="200"/>
          <w:sz w:val="40"/>
        </w:rPr>
        <w:t xml:space="preserve"> </w:t>
      </w:r>
    </w:p>
    <w:p>
      <w:pPr>
        <w:pStyle w:val="3"/>
        <w:rPr>
          <w:rFonts w:ascii="Microsoft JhengHei"/>
          <w:b/>
          <w:sz w:val="31"/>
        </w:rPr>
      </w:pPr>
    </w:p>
    <w:p>
      <w:pPr>
        <w:pStyle w:val="2"/>
        <w:tabs>
          <w:tab w:val="left" w:pos="2365"/>
        </w:tabs>
        <w:spacing w:before="1"/>
        <w:ind w:left="760"/>
        <w:jc w:val="left"/>
      </w:pPr>
      <w:r>
        <w:t>第一部分</w:t>
      </w:r>
      <w:r>
        <w:tab/>
      </w:r>
      <w:r>
        <w:t>丹溪乡人民政府</w:t>
      </w:r>
      <w:r>
        <w:rPr>
          <w:rFonts w:hint="eastAsia" w:ascii="黑体" w:eastAsia="黑体"/>
          <w:b w:val="0"/>
        </w:rPr>
        <w:t>部门</w:t>
      </w:r>
      <w:r>
        <w:t>概况</w:t>
      </w:r>
    </w:p>
    <w:p>
      <w:pPr>
        <w:spacing w:before="117" w:line="350" w:lineRule="auto"/>
        <w:ind w:left="1400" w:right="5425" w:firstLine="0"/>
        <w:jc w:val="left"/>
        <w:rPr>
          <w:sz w:val="32"/>
        </w:rPr>
      </w:pPr>
      <w:r>
        <w:rPr>
          <w:sz w:val="32"/>
        </w:rPr>
        <w:t>一、部门主要职责二、部门基本情况</w:t>
      </w:r>
    </w:p>
    <w:p>
      <w:pPr>
        <w:tabs>
          <w:tab w:val="left" w:pos="2359"/>
        </w:tabs>
        <w:spacing w:before="3"/>
        <w:ind w:left="760" w:right="0" w:firstLine="0"/>
        <w:jc w:val="left"/>
        <w:rPr>
          <w:rFonts w:hint="eastAsia" w:ascii="黑体" w:eastAsia="黑体"/>
          <w:sz w:val="32"/>
        </w:rPr>
      </w:pPr>
      <w:r>
        <w:rPr>
          <w:rFonts w:hint="eastAsia" w:ascii="黑体" w:eastAsia="黑体"/>
          <w:sz w:val="32"/>
        </w:rPr>
        <w:t>第二部分</w:t>
      </w:r>
      <w:r>
        <w:rPr>
          <w:rFonts w:hint="eastAsia" w:ascii="黑体" w:eastAsia="黑体"/>
          <w:sz w:val="32"/>
        </w:rPr>
        <w:tab/>
      </w:r>
      <w:r>
        <w:rPr>
          <w:rFonts w:hint="eastAsia" w:ascii="黑体" w:eastAsia="黑体"/>
          <w:sz w:val="32"/>
        </w:rPr>
        <w:t>2020</w:t>
      </w:r>
      <w:r>
        <w:rPr>
          <w:rFonts w:hint="eastAsia" w:ascii="黑体" w:eastAsia="黑体"/>
          <w:spacing w:val="-80"/>
          <w:sz w:val="32"/>
        </w:rPr>
        <w:t xml:space="preserve"> </w:t>
      </w:r>
      <w:r>
        <w:rPr>
          <w:rFonts w:hint="eastAsia" w:ascii="黑体" w:eastAsia="黑体"/>
          <w:sz w:val="32"/>
        </w:rPr>
        <w:t>年度部门决算表</w:t>
      </w:r>
    </w:p>
    <w:p>
      <w:pPr>
        <w:spacing w:before="190" w:line="350" w:lineRule="auto"/>
        <w:ind w:left="1400" w:right="4785" w:firstLine="0"/>
        <w:jc w:val="left"/>
        <w:rPr>
          <w:sz w:val="32"/>
        </w:rPr>
      </w:pPr>
      <w:r>
        <w:rPr>
          <w:spacing w:val="-2"/>
          <w:sz w:val="32"/>
        </w:rPr>
        <w:t>一、收入支出决算总表</w:t>
      </w:r>
      <w:r>
        <w:rPr>
          <w:sz w:val="32"/>
        </w:rPr>
        <w:t>二、收入决算表</w:t>
      </w:r>
    </w:p>
    <w:p>
      <w:pPr>
        <w:spacing w:before="2"/>
        <w:ind w:left="1400" w:right="0" w:firstLine="0"/>
        <w:jc w:val="left"/>
        <w:rPr>
          <w:sz w:val="32"/>
        </w:rPr>
      </w:pPr>
      <w:r>
        <w:rPr>
          <w:sz w:val="32"/>
        </w:rPr>
        <w:t>三、支出决算表</w:t>
      </w:r>
    </w:p>
    <w:p>
      <w:pPr>
        <w:spacing w:before="190"/>
        <w:ind w:left="1400" w:right="0" w:firstLine="0"/>
        <w:jc w:val="left"/>
        <w:rPr>
          <w:sz w:val="32"/>
        </w:rPr>
      </w:pPr>
      <w:r>
        <w:rPr>
          <w:sz w:val="32"/>
        </w:rPr>
        <w:t>四、财政拨款收入支出决算总表</w:t>
      </w:r>
    </w:p>
    <w:p>
      <w:pPr>
        <w:spacing w:before="190"/>
        <w:ind w:left="1400" w:right="0" w:firstLine="0"/>
        <w:jc w:val="left"/>
        <w:rPr>
          <w:sz w:val="32"/>
        </w:rPr>
      </w:pPr>
      <w:r>
        <w:rPr>
          <w:sz w:val="32"/>
        </w:rPr>
        <w:t>五、一般公共预算财政拨款支出决算表</w:t>
      </w:r>
    </w:p>
    <w:p>
      <w:pPr>
        <w:spacing w:before="190"/>
        <w:ind w:left="1400" w:right="0" w:firstLine="0"/>
        <w:jc w:val="left"/>
        <w:rPr>
          <w:sz w:val="32"/>
        </w:rPr>
      </w:pPr>
      <w:r>
        <w:rPr>
          <w:sz w:val="32"/>
        </w:rPr>
        <w:t>六、一般公共预算财政拨款基本支出决算表</w:t>
      </w:r>
    </w:p>
    <w:p>
      <w:pPr>
        <w:spacing w:before="190"/>
        <w:ind w:left="1400" w:right="0" w:firstLine="0"/>
        <w:jc w:val="left"/>
        <w:rPr>
          <w:sz w:val="32"/>
        </w:rPr>
      </w:pPr>
      <w:r>
        <w:rPr>
          <w:sz w:val="32"/>
        </w:rPr>
        <w:t>七、一般公共预算财政拨款“三公”经费支出决算</w:t>
      </w:r>
    </w:p>
    <w:p>
      <w:pPr>
        <w:pStyle w:val="3"/>
        <w:spacing w:before="7"/>
        <w:rPr>
          <w:sz w:val="10"/>
        </w:rPr>
      </w:pPr>
    </w:p>
    <w:p>
      <w:pPr>
        <w:spacing w:before="55"/>
        <w:ind w:left="760" w:right="0" w:firstLine="0"/>
        <w:jc w:val="left"/>
        <w:rPr>
          <w:sz w:val="32"/>
        </w:rPr>
      </w:pPr>
      <w:r>
        <w:rPr>
          <w:sz w:val="32"/>
        </w:rPr>
        <w:t>表</w:t>
      </w:r>
    </w:p>
    <w:p>
      <w:pPr>
        <w:spacing w:before="190" w:line="350" w:lineRule="auto"/>
        <w:ind w:left="1400" w:right="1585" w:firstLine="0"/>
        <w:jc w:val="left"/>
        <w:rPr>
          <w:sz w:val="32"/>
        </w:rPr>
      </w:pPr>
      <w:r>
        <w:rPr>
          <w:spacing w:val="-1"/>
          <w:sz w:val="32"/>
        </w:rPr>
        <w:t>八、政府性基金预算财政拨款收入支出决算表</w:t>
      </w:r>
      <w:r>
        <w:rPr>
          <w:sz w:val="32"/>
        </w:rPr>
        <w:t>九、国有资本经营预算财政拨款支出决算表 十、国有资产占用情况表</w:t>
      </w:r>
    </w:p>
    <w:p>
      <w:pPr>
        <w:tabs>
          <w:tab w:val="left" w:pos="2359"/>
        </w:tabs>
        <w:spacing w:before="5"/>
        <w:ind w:left="760" w:right="0" w:firstLine="0"/>
        <w:jc w:val="left"/>
        <w:rPr>
          <w:rFonts w:hint="eastAsia" w:ascii="黑体" w:eastAsia="黑体"/>
          <w:sz w:val="32"/>
        </w:rPr>
      </w:pPr>
      <w:r>
        <w:rPr>
          <w:rFonts w:hint="eastAsia" w:ascii="黑体" w:eastAsia="黑体"/>
          <w:sz w:val="32"/>
        </w:rPr>
        <w:t>第三部分</w:t>
      </w:r>
      <w:r>
        <w:rPr>
          <w:rFonts w:hint="eastAsia" w:ascii="黑体" w:eastAsia="黑体"/>
          <w:sz w:val="32"/>
        </w:rPr>
        <w:tab/>
      </w:r>
      <w:r>
        <w:rPr>
          <w:rFonts w:hint="eastAsia" w:ascii="黑体" w:eastAsia="黑体"/>
          <w:sz w:val="32"/>
        </w:rPr>
        <w:t>2020</w:t>
      </w:r>
      <w:r>
        <w:rPr>
          <w:rFonts w:hint="eastAsia" w:ascii="黑体" w:eastAsia="黑体"/>
          <w:spacing w:val="-80"/>
          <w:sz w:val="32"/>
        </w:rPr>
        <w:t xml:space="preserve"> </w:t>
      </w:r>
      <w:r>
        <w:rPr>
          <w:rFonts w:hint="eastAsia" w:ascii="黑体" w:eastAsia="黑体"/>
          <w:sz w:val="32"/>
        </w:rPr>
        <w:t>年度部门决算情况说明</w:t>
      </w:r>
    </w:p>
    <w:p>
      <w:pPr>
        <w:spacing w:before="190" w:line="350" w:lineRule="auto"/>
        <w:ind w:left="1400" w:right="4785" w:firstLine="0"/>
        <w:jc w:val="left"/>
        <w:rPr>
          <w:sz w:val="32"/>
        </w:rPr>
      </w:pPr>
      <w:r>
        <w:rPr>
          <w:sz w:val="32"/>
        </w:rPr>
        <w:t>一、收入决算情况说明二、支出决算情况说明</w:t>
      </w:r>
    </w:p>
    <w:p>
      <w:pPr>
        <w:spacing w:after="0" w:line="350" w:lineRule="auto"/>
        <w:jc w:val="left"/>
        <w:rPr>
          <w:sz w:val="32"/>
        </w:rPr>
        <w:sectPr>
          <w:type w:val="continuous"/>
          <w:pgSz w:w="11910" w:h="16840"/>
          <w:pgMar w:top="1580" w:right="840" w:bottom="280" w:left="1680" w:header="720" w:footer="720" w:gutter="0"/>
          <w:cols w:space="720" w:num="1"/>
        </w:sectPr>
      </w:pPr>
    </w:p>
    <w:p>
      <w:pPr>
        <w:spacing w:before="42"/>
        <w:ind w:left="1400" w:right="0" w:firstLine="0"/>
        <w:jc w:val="left"/>
        <w:rPr>
          <w:sz w:val="32"/>
        </w:rPr>
      </w:pPr>
      <w:r>
        <w:rPr>
          <w:sz w:val="32"/>
        </w:rPr>
        <w:t>三、财政拨款支出决算情况说明</w:t>
      </w:r>
    </w:p>
    <w:p>
      <w:pPr>
        <w:spacing w:before="190" w:line="350" w:lineRule="auto"/>
        <w:ind w:left="1400" w:right="914" w:firstLine="0"/>
        <w:jc w:val="left"/>
        <w:rPr>
          <w:sz w:val="32"/>
        </w:rPr>
      </w:pPr>
      <w:r>
        <w:rPr>
          <w:sz w:val="32"/>
        </w:rPr>
        <w:t>四、一般公共预算财政拨款基本支出决算情况说明五、一般公共预算财政拨款“三公”经费支出决算</w:t>
      </w:r>
    </w:p>
    <w:p>
      <w:pPr>
        <w:spacing w:before="2"/>
        <w:ind w:left="760" w:right="0" w:firstLine="0"/>
        <w:jc w:val="left"/>
        <w:rPr>
          <w:sz w:val="32"/>
        </w:rPr>
      </w:pPr>
      <w:r>
        <w:rPr>
          <w:sz w:val="32"/>
        </w:rPr>
        <w:t>情况说明</w:t>
      </w:r>
    </w:p>
    <w:p>
      <w:pPr>
        <w:spacing w:before="190" w:line="350" w:lineRule="auto"/>
        <w:ind w:left="1400" w:right="3505" w:firstLine="0"/>
        <w:jc w:val="left"/>
        <w:rPr>
          <w:sz w:val="32"/>
        </w:rPr>
      </w:pPr>
      <w:r>
        <w:rPr>
          <w:sz w:val="32"/>
        </w:rPr>
        <w:t>六、机关运行经费支出情况说明七、政府采购支出情况说明</w:t>
      </w:r>
    </w:p>
    <w:p>
      <w:pPr>
        <w:spacing w:before="3" w:line="350" w:lineRule="auto"/>
        <w:ind w:left="1400" w:right="4145" w:firstLine="0"/>
        <w:jc w:val="left"/>
        <w:rPr>
          <w:sz w:val="32"/>
        </w:rPr>
      </w:pPr>
      <w:r>
        <w:rPr>
          <w:sz w:val="32"/>
        </w:rPr>
        <w:t>八、国有资产占用情况说明九、预算绩效情况说明</w:t>
      </w:r>
    </w:p>
    <w:p>
      <w:pPr>
        <w:tabs>
          <w:tab w:val="left" w:pos="2359"/>
        </w:tabs>
        <w:spacing w:before="3"/>
        <w:ind w:left="760" w:right="0" w:firstLine="0"/>
        <w:jc w:val="left"/>
        <w:rPr>
          <w:rFonts w:hint="eastAsia" w:ascii="黑体" w:eastAsia="黑体"/>
          <w:sz w:val="32"/>
        </w:rPr>
      </w:pPr>
      <w:r>
        <w:rPr>
          <w:rFonts w:hint="eastAsia" w:ascii="黑体" w:eastAsia="黑体"/>
          <w:sz w:val="32"/>
        </w:rPr>
        <w:t>第四部分</w:t>
      </w:r>
      <w:r>
        <w:rPr>
          <w:rFonts w:hint="eastAsia" w:ascii="黑体" w:eastAsia="黑体"/>
          <w:sz w:val="32"/>
        </w:rPr>
        <w:tab/>
      </w:r>
      <w:r>
        <w:rPr>
          <w:rFonts w:hint="eastAsia" w:ascii="黑体" w:eastAsia="黑体"/>
          <w:sz w:val="32"/>
        </w:rPr>
        <w:t>名词解释</w:t>
      </w:r>
    </w:p>
    <w:p>
      <w:pPr>
        <w:spacing w:before="0" w:line="639" w:lineRule="exact"/>
        <w:ind w:left="0" w:right="29" w:firstLine="0"/>
        <w:jc w:val="center"/>
        <w:rPr>
          <w:rFonts w:ascii="Microsoft JhengHei"/>
          <w:b/>
          <w:sz w:val="36"/>
        </w:rPr>
      </w:pPr>
      <w:r>
        <w:rPr>
          <w:rFonts w:ascii="Microsoft JhengHei"/>
          <w:b/>
          <w:w w:val="200"/>
          <w:sz w:val="36"/>
        </w:rPr>
        <w:t xml:space="preserve"> </w:t>
      </w:r>
    </w:p>
    <w:p>
      <w:pPr>
        <w:spacing w:before="0" w:line="624" w:lineRule="exact"/>
        <w:ind w:left="0" w:right="29" w:firstLine="0"/>
        <w:jc w:val="center"/>
        <w:rPr>
          <w:rFonts w:ascii="Microsoft JhengHei"/>
          <w:b/>
          <w:sz w:val="36"/>
        </w:rPr>
      </w:pPr>
      <w:r>
        <w:rPr>
          <w:rFonts w:ascii="Microsoft JhengHei"/>
          <w:b/>
          <w:w w:val="200"/>
          <w:sz w:val="36"/>
        </w:rPr>
        <w:t xml:space="preserve"> </w:t>
      </w:r>
    </w:p>
    <w:p>
      <w:pPr>
        <w:spacing w:before="0" w:line="624" w:lineRule="exact"/>
        <w:ind w:left="0" w:right="29" w:firstLine="0"/>
        <w:jc w:val="center"/>
        <w:rPr>
          <w:rFonts w:ascii="Microsoft JhengHei"/>
          <w:b/>
          <w:sz w:val="36"/>
        </w:rPr>
      </w:pPr>
      <w:r>
        <w:rPr>
          <w:rFonts w:ascii="Microsoft JhengHei"/>
          <w:b/>
          <w:w w:val="200"/>
          <w:sz w:val="36"/>
        </w:rPr>
        <w:t xml:space="preserve"> </w:t>
      </w:r>
    </w:p>
    <w:p>
      <w:pPr>
        <w:spacing w:before="0" w:line="624" w:lineRule="exact"/>
        <w:ind w:left="0" w:right="29" w:firstLine="0"/>
        <w:jc w:val="center"/>
        <w:rPr>
          <w:rFonts w:ascii="Microsoft JhengHei"/>
          <w:b/>
          <w:sz w:val="36"/>
        </w:rPr>
      </w:pPr>
      <w:r>
        <w:rPr>
          <w:rFonts w:ascii="Microsoft JhengHei"/>
          <w:b/>
          <w:w w:val="200"/>
          <w:sz w:val="36"/>
        </w:rPr>
        <w:t xml:space="preserve"> </w:t>
      </w:r>
    </w:p>
    <w:p>
      <w:pPr>
        <w:spacing w:before="0" w:line="624" w:lineRule="exact"/>
        <w:ind w:left="0" w:right="29" w:firstLine="0"/>
        <w:jc w:val="center"/>
        <w:rPr>
          <w:rFonts w:ascii="Microsoft JhengHei"/>
          <w:b/>
          <w:sz w:val="36"/>
        </w:rPr>
      </w:pPr>
      <w:r>
        <w:rPr>
          <w:rFonts w:ascii="Microsoft JhengHei"/>
          <w:b/>
          <w:w w:val="200"/>
          <w:sz w:val="36"/>
        </w:rPr>
        <w:t xml:space="preserve"> </w:t>
      </w:r>
    </w:p>
    <w:p>
      <w:pPr>
        <w:spacing w:before="0" w:line="624" w:lineRule="exact"/>
        <w:ind w:left="0" w:right="29" w:firstLine="0"/>
        <w:jc w:val="center"/>
        <w:rPr>
          <w:rFonts w:ascii="Microsoft JhengHei"/>
          <w:b/>
          <w:sz w:val="36"/>
        </w:rPr>
      </w:pPr>
      <w:r>
        <w:rPr>
          <w:rFonts w:ascii="Microsoft JhengHei"/>
          <w:b/>
          <w:w w:val="200"/>
          <w:sz w:val="36"/>
        </w:rPr>
        <w:t xml:space="preserve"> </w:t>
      </w:r>
    </w:p>
    <w:p>
      <w:pPr>
        <w:spacing w:before="0" w:line="624" w:lineRule="exact"/>
        <w:ind w:left="0" w:right="29" w:firstLine="0"/>
        <w:jc w:val="center"/>
        <w:rPr>
          <w:rFonts w:ascii="Microsoft JhengHei"/>
          <w:b/>
          <w:sz w:val="36"/>
        </w:rPr>
      </w:pPr>
      <w:r>
        <w:rPr>
          <w:rFonts w:ascii="Microsoft JhengHei"/>
          <w:b/>
          <w:w w:val="200"/>
          <w:sz w:val="36"/>
        </w:rPr>
        <w:t xml:space="preserve"> </w:t>
      </w:r>
    </w:p>
    <w:p>
      <w:pPr>
        <w:spacing w:before="0" w:line="624" w:lineRule="exact"/>
        <w:ind w:left="0" w:right="29" w:firstLine="0"/>
        <w:jc w:val="center"/>
        <w:rPr>
          <w:rFonts w:ascii="Microsoft JhengHei"/>
          <w:b/>
          <w:sz w:val="36"/>
        </w:rPr>
      </w:pPr>
      <w:r>
        <w:rPr>
          <w:rFonts w:ascii="Microsoft JhengHei"/>
          <w:b/>
          <w:w w:val="200"/>
          <w:sz w:val="36"/>
        </w:rPr>
        <w:t xml:space="preserve"> </w:t>
      </w:r>
    </w:p>
    <w:p>
      <w:pPr>
        <w:spacing w:before="0" w:line="624" w:lineRule="exact"/>
        <w:ind w:left="0" w:right="29" w:firstLine="0"/>
        <w:jc w:val="center"/>
        <w:rPr>
          <w:rFonts w:ascii="Microsoft JhengHei"/>
          <w:b/>
          <w:sz w:val="36"/>
        </w:rPr>
      </w:pPr>
      <w:r>
        <w:rPr>
          <w:rFonts w:ascii="Microsoft JhengHei"/>
          <w:b/>
          <w:w w:val="200"/>
          <w:sz w:val="36"/>
        </w:rPr>
        <w:t xml:space="preserve"> </w:t>
      </w:r>
    </w:p>
    <w:p>
      <w:pPr>
        <w:spacing w:before="0" w:line="624" w:lineRule="exact"/>
        <w:ind w:left="0" w:right="29" w:firstLine="0"/>
        <w:jc w:val="center"/>
        <w:rPr>
          <w:rFonts w:ascii="Microsoft JhengHei"/>
          <w:b/>
          <w:sz w:val="36"/>
        </w:rPr>
      </w:pPr>
      <w:r>
        <w:rPr>
          <w:rFonts w:ascii="Microsoft JhengHei"/>
          <w:b/>
          <w:w w:val="200"/>
          <w:sz w:val="36"/>
        </w:rPr>
        <w:t xml:space="preserve"> </w:t>
      </w:r>
    </w:p>
    <w:p>
      <w:pPr>
        <w:spacing w:before="0" w:line="624" w:lineRule="exact"/>
        <w:ind w:left="0" w:right="29" w:firstLine="0"/>
        <w:jc w:val="center"/>
        <w:rPr>
          <w:rFonts w:ascii="Microsoft JhengHei"/>
          <w:b/>
          <w:sz w:val="36"/>
        </w:rPr>
      </w:pPr>
      <w:r>
        <w:rPr>
          <w:rFonts w:ascii="Microsoft JhengHei"/>
          <w:b/>
          <w:w w:val="200"/>
          <w:sz w:val="36"/>
        </w:rPr>
        <w:t xml:space="preserve"> </w:t>
      </w:r>
    </w:p>
    <w:p>
      <w:pPr>
        <w:spacing w:before="0" w:line="624" w:lineRule="exact"/>
        <w:ind w:left="0" w:right="29" w:firstLine="0"/>
        <w:jc w:val="center"/>
        <w:rPr>
          <w:rFonts w:ascii="Microsoft JhengHei"/>
          <w:b/>
          <w:sz w:val="36"/>
        </w:rPr>
      </w:pPr>
      <w:r>
        <w:rPr>
          <w:rFonts w:ascii="Microsoft JhengHei"/>
          <w:b/>
          <w:w w:val="200"/>
          <w:sz w:val="36"/>
        </w:rPr>
        <w:t xml:space="preserve"> </w:t>
      </w:r>
    </w:p>
    <w:p>
      <w:pPr>
        <w:spacing w:before="0" w:line="643" w:lineRule="exact"/>
        <w:ind w:left="0" w:right="29" w:firstLine="0"/>
        <w:jc w:val="center"/>
        <w:rPr>
          <w:rFonts w:ascii="Microsoft JhengHei"/>
          <w:b/>
          <w:sz w:val="36"/>
        </w:rPr>
      </w:pPr>
      <w:r>
        <w:rPr>
          <w:rFonts w:ascii="Microsoft JhengHei"/>
          <w:b/>
          <w:w w:val="200"/>
          <w:sz w:val="36"/>
        </w:rPr>
        <w:t xml:space="preserve"> </w:t>
      </w:r>
    </w:p>
    <w:p>
      <w:pPr>
        <w:spacing w:after="0" w:line="643" w:lineRule="exact"/>
        <w:jc w:val="center"/>
        <w:rPr>
          <w:rFonts w:ascii="Microsoft JhengHei"/>
          <w:sz w:val="36"/>
        </w:rPr>
        <w:sectPr>
          <w:pgSz w:w="11910" w:h="16840"/>
          <w:pgMar w:top="1540" w:right="840" w:bottom="280" w:left="1680" w:header="720" w:footer="720" w:gutter="0"/>
          <w:cols w:space="720" w:num="1"/>
        </w:sectPr>
      </w:pPr>
    </w:p>
    <w:p>
      <w:pPr>
        <w:pStyle w:val="2"/>
        <w:spacing w:line="509" w:lineRule="exact"/>
        <w:ind w:left="2024"/>
        <w:jc w:val="left"/>
      </w:pPr>
      <w:r>
        <w:t>第一部分 丹溪乡人民政府概况</w:t>
      </w:r>
      <w:r>
        <w:rPr>
          <w:w w:val="200"/>
        </w:rPr>
        <w:t xml:space="preserve"> </w:t>
      </w:r>
    </w:p>
    <w:p>
      <w:pPr>
        <w:pStyle w:val="3"/>
        <w:rPr>
          <w:rFonts w:ascii="Microsoft JhengHei"/>
          <w:b/>
          <w:sz w:val="38"/>
        </w:rPr>
      </w:pPr>
    </w:p>
    <w:p>
      <w:pPr>
        <w:pStyle w:val="3"/>
        <w:ind w:left="750"/>
        <w:rPr>
          <w:rFonts w:hint="eastAsia" w:ascii="黑体" w:eastAsia="黑体"/>
        </w:rPr>
      </w:pPr>
      <w:r>
        <w:rPr>
          <w:rFonts w:hint="eastAsia" w:ascii="黑体" w:eastAsia="黑体"/>
        </w:rPr>
        <w:t>一、部门主要职能</w:t>
      </w:r>
    </w:p>
    <w:p>
      <w:pPr>
        <w:pStyle w:val="3"/>
        <w:spacing w:before="240" w:line="388" w:lineRule="auto"/>
        <w:ind w:left="120" w:right="959" w:firstLine="630"/>
      </w:pPr>
      <w:r>
        <w:rPr>
          <w:spacing w:val="-2"/>
        </w:rPr>
        <w:t>丹溪乡人民政府是寻乌县下辖乡</w:t>
      </w:r>
      <w:r>
        <w:t>（镇</w:t>
      </w:r>
      <w:r>
        <w:rPr>
          <w:spacing w:val="-75"/>
        </w:rPr>
        <w:t>）</w:t>
      </w:r>
      <w:r>
        <w:rPr>
          <w:spacing w:val="-7"/>
        </w:rPr>
        <w:t>一级政府，主要职责</w:t>
      </w:r>
      <w:r>
        <w:t>如下：</w:t>
      </w:r>
    </w:p>
    <w:p>
      <w:pPr>
        <w:pStyle w:val="3"/>
        <w:spacing w:before="3" w:line="388" w:lineRule="auto"/>
        <w:ind w:left="120" w:right="1135" w:firstLine="630"/>
      </w:pPr>
      <w:r>
        <w:t>（一）执行本级人民代表大会的决议和上级国家行政机关的决定和命令，发布决定和命令；</w:t>
      </w:r>
    </w:p>
    <w:p>
      <w:pPr>
        <w:pStyle w:val="3"/>
        <w:spacing w:before="2" w:line="388" w:lineRule="auto"/>
        <w:ind w:left="120" w:right="1135" w:firstLine="630"/>
        <w:jc w:val="both"/>
      </w:pPr>
      <w:r>
        <w:t>（二）执行本行政区域内的经济和社会发展计划、预算， 管理本行政区域内的经济、教育、科学、文化、卫生、体育事业和财政、民政、公安、司法行政、计划生育等行政工作；</w:t>
      </w:r>
    </w:p>
    <w:p>
      <w:pPr>
        <w:pStyle w:val="3"/>
        <w:spacing w:before="4" w:line="388" w:lineRule="auto"/>
        <w:ind w:left="120" w:right="1135" w:firstLine="630"/>
        <w:jc w:val="both"/>
      </w:pPr>
      <w:r>
        <w:t>（三）</w:t>
      </w:r>
      <w:r>
        <w:rPr>
          <w:spacing w:val="-1"/>
        </w:rPr>
        <w:t>保护社会主义的全民所有的财产和劳动群众集体所</w:t>
      </w:r>
      <w:r>
        <w:t>有的财产，保护公民私人所有的合法财产，维护社会秩序，保障公民的人身权利、民主权利和其他权利；</w:t>
      </w:r>
    </w:p>
    <w:p>
      <w:pPr>
        <w:pStyle w:val="3"/>
        <w:spacing w:before="4"/>
        <w:ind w:left="750"/>
      </w:pPr>
      <w:r>
        <w:t>（四）保护各种经济组织的合法权益；</w:t>
      </w:r>
    </w:p>
    <w:p>
      <w:pPr>
        <w:pStyle w:val="3"/>
        <w:spacing w:before="240"/>
        <w:ind w:left="750"/>
      </w:pPr>
      <w:r>
        <w:t>（五）办理县委、县政府交办的其他事项。</w:t>
      </w:r>
    </w:p>
    <w:p>
      <w:pPr>
        <w:pStyle w:val="3"/>
        <w:spacing w:before="239" w:line="388" w:lineRule="auto"/>
        <w:ind w:left="120" w:right="959" w:firstLine="630"/>
        <w:jc w:val="both"/>
      </w:pPr>
      <w:r>
        <w:rPr>
          <w:spacing w:val="-5"/>
        </w:rPr>
        <w:t xml:space="preserve">纳入本套部门决算汇编范围的单位共 </w:t>
      </w:r>
      <w:r>
        <w:t>1</w:t>
      </w:r>
      <w:r>
        <w:rPr>
          <w:spacing w:val="-24"/>
        </w:rPr>
        <w:t xml:space="preserve"> 个，包括：丹溪乡人</w:t>
      </w:r>
      <w:r>
        <w:t>民政府（需按单位预算级次分别列出）。</w:t>
      </w:r>
    </w:p>
    <w:p>
      <w:pPr>
        <w:pStyle w:val="3"/>
        <w:spacing w:before="3" w:line="388" w:lineRule="auto"/>
        <w:ind w:left="120" w:right="959" w:firstLine="630"/>
        <w:jc w:val="both"/>
      </w:pPr>
      <w:r>
        <w:rPr>
          <w:spacing w:val="-19"/>
        </w:rPr>
        <w:t xml:space="preserve">本部门 </w:t>
      </w:r>
      <w:r>
        <w:t>2020</w:t>
      </w:r>
      <w:r>
        <w:rPr>
          <w:spacing w:val="-19"/>
        </w:rPr>
        <w:t xml:space="preserve"> 年年末实有人数 </w:t>
      </w:r>
      <w:r>
        <w:t>51</w:t>
      </w:r>
      <w:r>
        <w:rPr>
          <w:spacing w:val="-17"/>
        </w:rPr>
        <w:t xml:space="preserve"> 人，其中在职人员 </w:t>
      </w:r>
      <w:r>
        <w:t>51</w:t>
      </w:r>
      <w:r>
        <w:rPr>
          <w:spacing w:val="-26"/>
        </w:rPr>
        <w:t xml:space="preserve"> 人， </w:t>
      </w:r>
      <w:r>
        <w:rPr>
          <w:spacing w:val="-36"/>
        </w:rPr>
        <w:t xml:space="preserve">离休人员 </w:t>
      </w:r>
      <w:r>
        <w:t>0</w:t>
      </w:r>
      <w:r>
        <w:rPr>
          <w:spacing w:val="-20"/>
        </w:rPr>
        <w:t xml:space="preserve"> 人，退休人员 </w:t>
      </w:r>
      <w:r>
        <w:t>0</w:t>
      </w:r>
      <w:r>
        <w:rPr>
          <w:spacing w:val="-22"/>
        </w:rPr>
        <w:t xml:space="preserve"> 人；年末其他人员 </w:t>
      </w:r>
      <w:r>
        <w:t>8</w:t>
      </w:r>
      <w:r>
        <w:rPr>
          <w:spacing w:val="-19"/>
        </w:rPr>
        <w:t xml:space="preserve"> 人；年末学生人</w:t>
      </w:r>
      <w:r>
        <w:rPr>
          <w:spacing w:val="-38"/>
        </w:rPr>
        <w:t xml:space="preserve">数 </w:t>
      </w:r>
      <w:r>
        <w:t>1379</w:t>
      </w:r>
      <w:r>
        <w:rPr>
          <w:spacing w:val="-26"/>
        </w:rPr>
        <w:t xml:space="preserve"> 人。</w:t>
      </w:r>
    </w:p>
    <w:p>
      <w:pPr>
        <w:pStyle w:val="3"/>
        <w:spacing w:before="9"/>
        <w:rPr>
          <w:sz w:val="43"/>
        </w:rPr>
      </w:pPr>
    </w:p>
    <w:p>
      <w:pPr>
        <w:pStyle w:val="2"/>
        <w:ind w:left="120"/>
        <w:jc w:val="left"/>
      </w:pPr>
      <w:r>
        <w:rPr>
          <w:w w:val="200"/>
        </w:rPr>
        <w:t xml:space="preserve"> </w:t>
      </w:r>
    </w:p>
    <w:p>
      <w:pPr>
        <w:spacing w:after="0"/>
        <w:jc w:val="left"/>
        <w:sectPr>
          <w:pgSz w:w="11910" w:h="16840"/>
          <w:pgMar w:top="1540" w:right="840" w:bottom="280" w:left="1680" w:header="720" w:footer="720" w:gutter="0"/>
          <w:cols w:space="720" w:num="1"/>
        </w:sectPr>
      </w:pPr>
    </w:p>
    <w:p>
      <w:pPr>
        <w:pStyle w:val="3"/>
        <w:rPr>
          <w:rFonts w:ascii="Microsoft JhengHei"/>
          <w:b/>
          <w:sz w:val="20"/>
        </w:rPr>
      </w:pPr>
    </w:p>
    <w:p>
      <w:pPr>
        <w:pStyle w:val="3"/>
        <w:spacing w:before="16"/>
        <w:rPr>
          <w:rFonts w:ascii="Microsoft JhengHei"/>
          <w:b/>
          <w:sz w:val="11"/>
        </w:rPr>
      </w:pPr>
    </w:p>
    <w:p>
      <w:pPr>
        <w:spacing w:before="0" w:line="539" w:lineRule="exact"/>
        <w:ind w:left="1954" w:right="1993" w:firstLine="0"/>
        <w:jc w:val="center"/>
        <w:rPr>
          <w:rFonts w:hint="eastAsia" w:ascii="Microsoft JhengHei" w:eastAsia="Microsoft JhengHei"/>
          <w:b/>
          <w:sz w:val="32"/>
        </w:rPr>
      </w:pPr>
      <w:r>
        <w:rPr>
          <w:rFonts w:hint="eastAsia" w:ascii="Microsoft JhengHei" w:eastAsia="Microsoft JhengHei"/>
          <w:b/>
          <w:sz w:val="32"/>
        </w:rPr>
        <w:t>第二部分 2020 年度部门决算表</w:t>
      </w:r>
      <w:r>
        <w:rPr>
          <w:rFonts w:hint="eastAsia" w:ascii="Microsoft JhengHei" w:eastAsia="Microsoft JhengHei"/>
          <w:b/>
          <w:w w:val="200"/>
          <w:sz w:val="32"/>
        </w:rPr>
        <w:t xml:space="preserve"> </w:t>
      </w:r>
    </w:p>
    <w:p>
      <w:pPr>
        <w:pStyle w:val="2"/>
        <w:spacing w:before="11"/>
        <w:ind w:right="39"/>
      </w:pPr>
      <w:r>
        <w:rPr>
          <w:w w:val="200"/>
        </w:rPr>
        <w:t xml:space="preserve"> </w:t>
      </w:r>
    </w:p>
    <w:p>
      <w:pPr>
        <w:pStyle w:val="3"/>
        <w:rPr>
          <w:rFonts w:ascii="Microsoft JhengHei"/>
          <w:b/>
          <w:sz w:val="20"/>
        </w:rPr>
      </w:pPr>
    </w:p>
    <w:p>
      <w:pPr>
        <w:pStyle w:val="3"/>
        <w:rPr>
          <w:rFonts w:ascii="Microsoft JhengHei"/>
          <w:b/>
          <w:sz w:val="20"/>
        </w:rPr>
      </w:pPr>
    </w:p>
    <w:p>
      <w:pPr>
        <w:pStyle w:val="3"/>
        <w:spacing w:before="3"/>
        <w:rPr>
          <w:rFonts w:ascii="Microsoft JhengHei"/>
          <w:b/>
          <w:sz w:val="11"/>
        </w:rPr>
      </w:pPr>
      <w:r>
        <w:drawing>
          <wp:inline distT="0" distB="0" distL="114300" distR="114300">
            <wp:extent cx="5956935" cy="6002020"/>
            <wp:effectExtent l="0" t="0" r="5715" b="1778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6"/>
                    <a:stretch>
                      <a:fillRect/>
                    </a:stretch>
                  </pic:blipFill>
                  <pic:spPr>
                    <a:xfrm>
                      <a:off x="0" y="0"/>
                      <a:ext cx="5956935" cy="6002020"/>
                    </a:xfrm>
                    <a:prstGeom prst="rect">
                      <a:avLst/>
                    </a:prstGeom>
                    <a:noFill/>
                    <a:ln>
                      <a:noFill/>
                    </a:ln>
                  </pic:spPr>
                </pic:pic>
              </a:graphicData>
            </a:graphic>
          </wp:inline>
        </w:drawing>
      </w:r>
    </w:p>
    <w:p>
      <w:pPr>
        <w:spacing w:after="0"/>
        <w:rPr>
          <w:rFonts w:ascii="Microsoft JhengHei"/>
          <w:sz w:val="11"/>
        </w:rPr>
        <w:sectPr>
          <w:pgSz w:w="11910" w:h="16840"/>
          <w:pgMar w:top="1540" w:right="840" w:bottom="280" w:left="1680" w:header="720" w:footer="720" w:gutter="0"/>
          <w:cols w:space="720" w:num="1"/>
        </w:sectPr>
      </w:pPr>
    </w:p>
    <w:p>
      <w:pPr>
        <w:pStyle w:val="3"/>
        <w:spacing w:before="5"/>
        <w:rPr>
          <w:rFonts w:ascii="Microsoft JhengHei"/>
          <w:b/>
          <w:sz w:val="25"/>
        </w:rPr>
      </w:pPr>
    </w:p>
    <w:p>
      <w:pPr>
        <w:pStyle w:val="3"/>
        <w:ind w:left="120"/>
        <w:rPr>
          <w:rFonts w:ascii="Microsoft JhengHei"/>
          <w:sz w:val="20"/>
        </w:rPr>
      </w:pPr>
      <w:r>
        <w:drawing>
          <wp:inline distT="0" distB="0" distL="114300" distR="114300">
            <wp:extent cx="5955665" cy="6988175"/>
            <wp:effectExtent l="0" t="0" r="6985" b="317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7"/>
                    <a:stretch>
                      <a:fillRect/>
                    </a:stretch>
                  </pic:blipFill>
                  <pic:spPr>
                    <a:xfrm>
                      <a:off x="0" y="0"/>
                      <a:ext cx="5955665" cy="6988175"/>
                    </a:xfrm>
                    <a:prstGeom prst="rect">
                      <a:avLst/>
                    </a:prstGeom>
                    <a:noFill/>
                    <a:ln>
                      <a:noFill/>
                    </a:ln>
                  </pic:spPr>
                </pic:pic>
              </a:graphicData>
            </a:graphic>
          </wp:inline>
        </w:drawing>
      </w:r>
    </w:p>
    <w:p>
      <w:pPr>
        <w:spacing w:after="0"/>
        <w:rPr>
          <w:rFonts w:ascii="Microsoft JhengHei"/>
          <w:sz w:val="20"/>
        </w:rPr>
        <w:sectPr>
          <w:pgSz w:w="11910" w:h="16840"/>
          <w:pgMar w:top="1580" w:right="840" w:bottom="280" w:left="1680" w:header="720" w:footer="720" w:gutter="0"/>
          <w:cols w:space="720" w:num="1"/>
        </w:sectPr>
      </w:pPr>
    </w:p>
    <w:p>
      <w:pPr>
        <w:pStyle w:val="3"/>
        <w:ind w:left="120"/>
        <w:rPr>
          <w:rFonts w:ascii="Microsoft JhengHei"/>
          <w:sz w:val="20"/>
        </w:rPr>
      </w:pPr>
      <w:r>
        <w:drawing>
          <wp:inline distT="0" distB="0" distL="114300" distR="114300">
            <wp:extent cx="6294120" cy="7467600"/>
            <wp:effectExtent l="0" t="0" r="11430" b="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8"/>
                    <a:stretch>
                      <a:fillRect/>
                    </a:stretch>
                  </pic:blipFill>
                  <pic:spPr>
                    <a:xfrm>
                      <a:off x="0" y="0"/>
                      <a:ext cx="6294120" cy="7467600"/>
                    </a:xfrm>
                    <a:prstGeom prst="rect">
                      <a:avLst/>
                    </a:prstGeom>
                    <a:noFill/>
                    <a:ln>
                      <a:noFill/>
                    </a:ln>
                  </pic:spPr>
                </pic:pic>
              </a:graphicData>
            </a:graphic>
          </wp:inline>
        </w:drawing>
      </w:r>
    </w:p>
    <w:p>
      <w:pPr>
        <w:spacing w:after="0"/>
        <w:rPr>
          <w:rFonts w:ascii="Microsoft JhengHei"/>
          <w:sz w:val="20"/>
        </w:rPr>
        <w:sectPr>
          <w:pgSz w:w="11910" w:h="16840"/>
          <w:pgMar w:top="1480" w:right="840" w:bottom="280" w:left="1680" w:header="720" w:footer="720" w:gutter="0"/>
          <w:cols w:space="720" w:num="1"/>
        </w:sectPr>
      </w:pPr>
    </w:p>
    <w:p>
      <w:pPr>
        <w:pStyle w:val="3"/>
        <w:ind w:left="120"/>
        <w:rPr>
          <w:rFonts w:ascii="Microsoft JhengHei"/>
          <w:sz w:val="20"/>
        </w:rPr>
      </w:pPr>
      <w:r>
        <w:drawing>
          <wp:inline distT="0" distB="0" distL="114300" distR="114300">
            <wp:extent cx="5961380" cy="5186045"/>
            <wp:effectExtent l="0" t="0" r="1270" b="1460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9"/>
                    <a:stretch>
                      <a:fillRect/>
                    </a:stretch>
                  </pic:blipFill>
                  <pic:spPr>
                    <a:xfrm>
                      <a:off x="0" y="0"/>
                      <a:ext cx="5961380" cy="5186045"/>
                    </a:xfrm>
                    <a:prstGeom prst="rect">
                      <a:avLst/>
                    </a:prstGeom>
                    <a:noFill/>
                    <a:ln>
                      <a:noFill/>
                    </a:ln>
                  </pic:spPr>
                </pic:pic>
              </a:graphicData>
            </a:graphic>
          </wp:inline>
        </w:drawing>
      </w:r>
    </w:p>
    <w:p>
      <w:pPr>
        <w:spacing w:after="0"/>
        <w:rPr>
          <w:rFonts w:ascii="Microsoft JhengHei"/>
          <w:sz w:val="20"/>
        </w:rPr>
        <w:sectPr>
          <w:pgSz w:w="11910" w:h="16840"/>
          <w:pgMar w:top="1440" w:right="840" w:bottom="280" w:left="1680" w:header="720" w:footer="720" w:gutter="0"/>
          <w:cols w:space="720" w:num="1"/>
        </w:sectPr>
      </w:pPr>
    </w:p>
    <w:p>
      <w:pPr>
        <w:pStyle w:val="3"/>
        <w:ind w:left="104"/>
        <w:rPr>
          <w:rFonts w:ascii="Microsoft JhengHei"/>
          <w:sz w:val="20"/>
        </w:rPr>
      </w:pPr>
      <w:r>
        <w:drawing>
          <wp:inline distT="0" distB="0" distL="114300" distR="114300">
            <wp:extent cx="5956935" cy="7616825"/>
            <wp:effectExtent l="0" t="0" r="5715" b="317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0"/>
                    <a:stretch>
                      <a:fillRect/>
                    </a:stretch>
                  </pic:blipFill>
                  <pic:spPr>
                    <a:xfrm>
                      <a:off x="0" y="0"/>
                      <a:ext cx="5956935" cy="7616825"/>
                    </a:xfrm>
                    <a:prstGeom prst="rect">
                      <a:avLst/>
                    </a:prstGeom>
                    <a:noFill/>
                    <a:ln>
                      <a:noFill/>
                    </a:ln>
                  </pic:spPr>
                </pic:pic>
              </a:graphicData>
            </a:graphic>
          </wp:inline>
        </w:drawing>
      </w:r>
    </w:p>
    <w:p>
      <w:pPr>
        <w:spacing w:after="0"/>
        <w:rPr>
          <w:rFonts w:ascii="Microsoft JhengHei"/>
          <w:sz w:val="20"/>
        </w:rPr>
        <w:sectPr>
          <w:pgSz w:w="11910" w:h="16840"/>
          <w:pgMar w:top="1500" w:right="840" w:bottom="280" w:left="1680" w:header="720" w:footer="720" w:gutter="0"/>
          <w:cols w:space="720" w:num="1"/>
        </w:sectPr>
      </w:pPr>
    </w:p>
    <w:p>
      <w:pPr>
        <w:pStyle w:val="3"/>
        <w:ind w:left="120"/>
        <w:rPr>
          <w:rFonts w:ascii="Microsoft JhengHei"/>
          <w:sz w:val="20"/>
        </w:rPr>
      </w:pPr>
      <w:r>
        <w:drawing>
          <wp:inline distT="0" distB="0" distL="114300" distR="114300">
            <wp:extent cx="5960745" cy="7814945"/>
            <wp:effectExtent l="0" t="0" r="1905" b="1460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1"/>
                    <a:stretch>
                      <a:fillRect/>
                    </a:stretch>
                  </pic:blipFill>
                  <pic:spPr>
                    <a:xfrm>
                      <a:off x="0" y="0"/>
                      <a:ext cx="5960745" cy="7814945"/>
                    </a:xfrm>
                    <a:prstGeom prst="rect">
                      <a:avLst/>
                    </a:prstGeom>
                    <a:noFill/>
                    <a:ln>
                      <a:noFill/>
                    </a:ln>
                  </pic:spPr>
                </pic:pic>
              </a:graphicData>
            </a:graphic>
          </wp:inline>
        </w:drawing>
      </w:r>
    </w:p>
    <w:p>
      <w:pPr>
        <w:spacing w:after="0"/>
        <w:rPr>
          <w:rFonts w:ascii="Microsoft JhengHei"/>
          <w:sz w:val="20"/>
        </w:rPr>
        <w:sectPr>
          <w:pgSz w:w="11910" w:h="16840"/>
          <w:pgMar w:top="1500" w:right="840" w:bottom="280" w:left="1680" w:header="720" w:footer="720" w:gutter="0"/>
          <w:cols w:space="720" w:num="1"/>
        </w:sectPr>
      </w:pPr>
    </w:p>
    <w:p>
      <w:pPr>
        <w:pStyle w:val="3"/>
        <w:spacing w:before="10" w:after="1"/>
        <w:rPr>
          <w:rFonts w:ascii="Microsoft JhengHei"/>
          <w:b/>
          <w:sz w:val="19"/>
        </w:rPr>
      </w:pPr>
    </w:p>
    <w:p>
      <w:pPr>
        <w:pStyle w:val="3"/>
        <w:ind w:left="120"/>
        <w:rPr>
          <w:rFonts w:ascii="Microsoft JhengHei"/>
          <w:sz w:val="20"/>
        </w:rPr>
      </w:pPr>
      <w:r>
        <w:drawing>
          <wp:inline distT="0" distB="0" distL="114300" distR="114300">
            <wp:extent cx="5958840" cy="6080760"/>
            <wp:effectExtent l="0" t="0" r="3810" b="1524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2"/>
                    <a:stretch>
                      <a:fillRect/>
                    </a:stretch>
                  </pic:blipFill>
                  <pic:spPr>
                    <a:xfrm>
                      <a:off x="0" y="0"/>
                      <a:ext cx="5958840" cy="6080760"/>
                    </a:xfrm>
                    <a:prstGeom prst="rect">
                      <a:avLst/>
                    </a:prstGeom>
                    <a:noFill/>
                    <a:ln>
                      <a:noFill/>
                    </a:ln>
                  </pic:spPr>
                </pic:pic>
              </a:graphicData>
            </a:graphic>
          </wp:inline>
        </w:drawing>
      </w:r>
    </w:p>
    <w:p>
      <w:pPr>
        <w:pStyle w:val="3"/>
        <w:rPr>
          <w:rFonts w:ascii="Microsoft JhengHei"/>
          <w:b/>
          <w:sz w:val="20"/>
        </w:rPr>
      </w:pPr>
    </w:p>
    <w:p>
      <w:pPr>
        <w:pStyle w:val="3"/>
        <w:spacing w:before="3"/>
        <w:rPr>
          <w:rFonts w:ascii="Microsoft JhengHei"/>
          <w:b/>
          <w:sz w:val="22"/>
        </w:rPr>
      </w:pPr>
      <w:r>
        <w:drawing>
          <wp:inline distT="0" distB="0" distL="114300" distR="114300">
            <wp:extent cx="5957570" cy="3436620"/>
            <wp:effectExtent l="0" t="0" r="5080" b="1143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3"/>
                    <a:stretch>
                      <a:fillRect/>
                    </a:stretch>
                  </pic:blipFill>
                  <pic:spPr>
                    <a:xfrm>
                      <a:off x="0" y="0"/>
                      <a:ext cx="5957570" cy="3436620"/>
                    </a:xfrm>
                    <a:prstGeom prst="rect">
                      <a:avLst/>
                    </a:prstGeom>
                    <a:noFill/>
                    <a:ln>
                      <a:noFill/>
                    </a:ln>
                  </pic:spPr>
                </pic:pic>
              </a:graphicData>
            </a:graphic>
          </wp:inline>
        </w:drawing>
      </w:r>
    </w:p>
    <w:p>
      <w:pPr>
        <w:spacing w:after="0"/>
        <w:rPr>
          <w:rFonts w:ascii="Microsoft JhengHei"/>
          <w:sz w:val="22"/>
        </w:rPr>
        <w:sectPr>
          <w:pgSz w:w="11910" w:h="16840"/>
          <w:pgMar w:top="1580" w:right="840" w:bottom="280" w:left="1680" w:header="720" w:footer="720" w:gutter="0"/>
          <w:cols w:space="720" w:num="1"/>
        </w:sectPr>
      </w:pPr>
    </w:p>
    <w:p>
      <w:pPr>
        <w:pStyle w:val="3"/>
        <w:ind w:left="120"/>
        <w:rPr>
          <w:rFonts w:ascii="Microsoft JhengHei"/>
          <w:sz w:val="20"/>
        </w:rPr>
      </w:pPr>
      <w:r>
        <w:drawing>
          <wp:inline distT="0" distB="0" distL="114300" distR="114300">
            <wp:extent cx="5955030" cy="1671955"/>
            <wp:effectExtent l="0" t="0" r="7620" b="444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14"/>
                    <a:stretch>
                      <a:fillRect/>
                    </a:stretch>
                  </pic:blipFill>
                  <pic:spPr>
                    <a:xfrm>
                      <a:off x="0" y="0"/>
                      <a:ext cx="5955030" cy="1671955"/>
                    </a:xfrm>
                    <a:prstGeom prst="rect">
                      <a:avLst/>
                    </a:prstGeom>
                    <a:noFill/>
                    <a:ln>
                      <a:noFill/>
                    </a:ln>
                  </pic:spPr>
                </pic:pic>
              </a:graphicData>
            </a:graphic>
          </wp:inline>
        </w:drawing>
      </w:r>
    </w:p>
    <w:p>
      <w:pPr>
        <w:pStyle w:val="3"/>
        <w:rPr>
          <w:rFonts w:ascii="Microsoft JhengHei"/>
          <w:b/>
          <w:sz w:val="20"/>
        </w:rPr>
      </w:pPr>
    </w:p>
    <w:p>
      <w:pPr>
        <w:pStyle w:val="3"/>
        <w:spacing w:before="17"/>
        <w:rPr>
          <w:rFonts w:ascii="Microsoft JhengHei"/>
          <w:b/>
          <w:sz w:val="13"/>
        </w:rPr>
      </w:pPr>
      <w:r>
        <w:drawing>
          <wp:inline distT="0" distB="0" distL="114300" distR="114300">
            <wp:extent cx="5955665" cy="3194050"/>
            <wp:effectExtent l="0" t="0" r="6985" b="635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15"/>
                    <a:stretch>
                      <a:fillRect/>
                    </a:stretch>
                  </pic:blipFill>
                  <pic:spPr>
                    <a:xfrm>
                      <a:off x="0" y="0"/>
                      <a:ext cx="5955665" cy="3194050"/>
                    </a:xfrm>
                    <a:prstGeom prst="rect">
                      <a:avLst/>
                    </a:prstGeom>
                    <a:noFill/>
                    <a:ln>
                      <a:noFill/>
                    </a:ln>
                  </pic:spPr>
                </pic:pic>
              </a:graphicData>
            </a:graphic>
          </wp:inline>
        </w:drawing>
      </w: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1"/>
        </w:rPr>
      </w:pPr>
    </w:p>
    <w:p>
      <w:pPr>
        <w:spacing w:before="0" w:line="538" w:lineRule="exact"/>
        <w:ind w:left="0" w:right="39" w:firstLine="0"/>
        <w:jc w:val="center"/>
        <w:rPr>
          <w:rFonts w:ascii="Microsoft JhengHei"/>
          <w:b/>
          <w:sz w:val="32"/>
        </w:rPr>
      </w:pPr>
      <w:r>
        <w:rPr>
          <w:rFonts w:ascii="Microsoft JhengHei"/>
          <w:b/>
          <w:w w:val="200"/>
          <w:sz w:val="32"/>
        </w:rPr>
        <w:t xml:space="preserve"> </w:t>
      </w:r>
    </w:p>
    <w:p>
      <w:pPr>
        <w:pStyle w:val="2"/>
        <w:spacing w:before="11"/>
        <w:ind w:right="39"/>
      </w:pPr>
      <w:r>
        <w:rPr>
          <w:w w:val="200"/>
        </w:rPr>
        <w:t xml:space="preserve"> </w:t>
      </w:r>
    </w:p>
    <w:p>
      <w:pPr>
        <w:spacing w:after="0"/>
        <w:sectPr>
          <w:pgSz w:w="11910" w:h="16840"/>
          <w:pgMar w:top="1560" w:right="840" w:bottom="280" w:left="1680" w:header="720" w:footer="720" w:gutter="0"/>
          <w:cols w:space="720" w:num="1"/>
        </w:sectPr>
      </w:pPr>
    </w:p>
    <w:p>
      <w:pPr>
        <w:spacing w:before="0" w:line="525" w:lineRule="exact"/>
        <w:ind w:left="1954" w:right="1993" w:firstLine="0"/>
        <w:jc w:val="center"/>
        <w:rPr>
          <w:rFonts w:hint="eastAsia" w:ascii="Microsoft JhengHei" w:eastAsia="Microsoft JhengHei"/>
          <w:b/>
          <w:sz w:val="32"/>
        </w:rPr>
      </w:pPr>
      <w:r>
        <w:rPr>
          <w:rFonts w:hint="eastAsia" w:ascii="Microsoft JhengHei" w:eastAsia="Microsoft JhengHei"/>
          <w:b/>
          <w:sz w:val="32"/>
        </w:rPr>
        <w:t>第三部分 2020 年度部门决算情况说明</w:t>
      </w:r>
      <w:r>
        <w:rPr>
          <w:rFonts w:hint="eastAsia" w:ascii="Microsoft JhengHei" w:eastAsia="Microsoft JhengHei"/>
          <w:b/>
          <w:w w:val="200"/>
          <w:sz w:val="32"/>
        </w:rPr>
        <w:t xml:space="preserve"> </w:t>
      </w:r>
    </w:p>
    <w:p>
      <w:pPr>
        <w:pStyle w:val="3"/>
        <w:spacing w:before="4"/>
        <w:rPr>
          <w:rFonts w:ascii="Microsoft JhengHei"/>
          <w:b/>
          <w:sz w:val="38"/>
        </w:rPr>
      </w:pPr>
    </w:p>
    <w:p>
      <w:pPr>
        <w:pStyle w:val="3"/>
        <w:ind w:left="750"/>
        <w:rPr>
          <w:rFonts w:hint="eastAsia" w:ascii="黑体" w:eastAsia="黑体"/>
        </w:rPr>
      </w:pPr>
      <w:r>
        <w:rPr>
          <w:rFonts w:hint="eastAsia" w:ascii="黑体" w:eastAsia="黑体"/>
        </w:rPr>
        <w:t>一、收入决算情况说明</w:t>
      </w:r>
    </w:p>
    <w:p>
      <w:pPr>
        <w:pStyle w:val="3"/>
        <w:spacing w:before="240" w:line="388" w:lineRule="auto"/>
        <w:ind w:left="120" w:right="959" w:firstLine="630"/>
      </w:pPr>
      <w:r>
        <w:rPr>
          <w:spacing w:val="-19"/>
        </w:rPr>
        <w:t xml:space="preserve">本部门 </w:t>
      </w:r>
      <w:r>
        <w:t>2020</w:t>
      </w:r>
      <w:r>
        <w:rPr>
          <w:spacing w:val="-20"/>
        </w:rPr>
        <w:t xml:space="preserve"> 年度收入总计 </w:t>
      </w:r>
      <w:r>
        <w:t>2206.7</w:t>
      </w:r>
      <w:r>
        <w:rPr>
          <w:spacing w:val="-20"/>
        </w:rPr>
        <w:t xml:space="preserve"> 万元，其中年初结转和结</w:t>
      </w:r>
      <w:r>
        <w:rPr>
          <w:spacing w:val="-38"/>
        </w:rPr>
        <w:t xml:space="preserve">余 </w:t>
      </w:r>
      <w:r>
        <w:t>155.67</w:t>
      </w:r>
      <w:r>
        <w:rPr>
          <w:spacing w:val="-26"/>
        </w:rPr>
        <w:t xml:space="preserve"> 万元，较 </w:t>
      </w:r>
      <w:r>
        <w:t>2019</w:t>
      </w:r>
      <w:r>
        <w:rPr>
          <w:spacing w:val="-31"/>
        </w:rPr>
        <w:t xml:space="preserve"> 年增加 </w:t>
      </w:r>
      <w:r>
        <w:t>214.3</w:t>
      </w:r>
      <w:r>
        <w:rPr>
          <w:spacing w:val="-23"/>
        </w:rPr>
        <w:t xml:space="preserve"> 万元，增长 </w:t>
      </w:r>
      <w:r>
        <w:t>10.76%；本</w:t>
      </w:r>
      <w:r>
        <w:rPr>
          <w:spacing w:val="-13"/>
        </w:rPr>
        <w:t xml:space="preserve">年收入合计 </w:t>
      </w:r>
      <w:r>
        <w:t>2051.03</w:t>
      </w:r>
      <w:r>
        <w:rPr>
          <w:spacing w:val="-26"/>
        </w:rPr>
        <w:t xml:space="preserve"> 万元，较 </w:t>
      </w:r>
      <w:r>
        <w:t>2019</w:t>
      </w:r>
      <w:r>
        <w:rPr>
          <w:spacing w:val="-31"/>
        </w:rPr>
        <w:t xml:space="preserve"> 年增加 </w:t>
      </w:r>
      <w:r>
        <w:t>150.67</w:t>
      </w:r>
      <w:r>
        <w:rPr>
          <w:spacing w:val="-14"/>
        </w:rPr>
        <w:t xml:space="preserve"> 万元，增长7.93%，主要原因是：项目、上级拨款增加（政府性基金预算财政拨款收入增加）。</w:t>
      </w:r>
    </w:p>
    <w:p>
      <w:pPr>
        <w:pStyle w:val="3"/>
        <w:spacing w:before="6" w:line="388" w:lineRule="auto"/>
        <w:ind w:left="120" w:right="1135" w:firstLine="630"/>
      </w:pPr>
      <w:r>
        <w:rPr>
          <w:spacing w:val="-5"/>
        </w:rPr>
        <w:t xml:space="preserve">本年收入的具体构成为：财政拨款收入 </w:t>
      </w:r>
      <w:r>
        <w:t>2051.03</w:t>
      </w:r>
      <w:r>
        <w:rPr>
          <w:spacing w:val="-20"/>
        </w:rPr>
        <w:t xml:space="preserve"> 万元，占</w:t>
      </w:r>
      <w:r>
        <w:t>100%。</w:t>
      </w:r>
    </w:p>
    <w:p>
      <w:pPr>
        <w:pStyle w:val="3"/>
        <w:spacing w:before="3"/>
        <w:ind w:left="750"/>
        <w:rPr>
          <w:rFonts w:hint="eastAsia" w:ascii="黑体" w:eastAsia="黑体"/>
        </w:rPr>
      </w:pPr>
      <w:r>
        <w:rPr>
          <w:rFonts w:hint="eastAsia" w:ascii="黑体" w:eastAsia="黑体"/>
        </w:rPr>
        <w:t>二、支出决算情况说明</w:t>
      </w:r>
    </w:p>
    <w:p>
      <w:pPr>
        <w:pStyle w:val="3"/>
        <w:spacing w:before="240" w:line="388" w:lineRule="auto"/>
        <w:ind w:left="120" w:right="809" w:firstLine="630"/>
      </w:pPr>
      <w:r>
        <w:rPr>
          <w:spacing w:val="-19"/>
        </w:rPr>
        <w:t xml:space="preserve">本部门 </w:t>
      </w:r>
      <w:r>
        <w:t>2020</w:t>
      </w:r>
      <w:r>
        <w:rPr>
          <w:spacing w:val="-20"/>
        </w:rPr>
        <w:t xml:space="preserve"> 年度支出总计 </w:t>
      </w:r>
      <w:r>
        <w:t>2206.7</w:t>
      </w:r>
      <w:r>
        <w:rPr>
          <w:spacing w:val="-19"/>
        </w:rPr>
        <w:t xml:space="preserve"> 万元，其中本年支出合计1978.92</w:t>
      </w:r>
      <w:r>
        <w:rPr>
          <w:spacing w:val="-26"/>
        </w:rPr>
        <w:t xml:space="preserve"> 万元，较 </w:t>
      </w:r>
      <w:r>
        <w:t>2019</w:t>
      </w:r>
      <w:r>
        <w:rPr>
          <w:spacing w:val="-31"/>
        </w:rPr>
        <w:t xml:space="preserve"> 年增加 </w:t>
      </w:r>
      <w:r>
        <w:t>142.19</w:t>
      </w:r>
      <w:r>
        <w:rPr>
          <w:spacing w:val="-23"/>
        </w:rPr>
        <w:t xml:space="preserve"> 万元，增长 </w:t>
      </w:r>
      <w:r>
        <w:t>7.74%，主要</w:t>
      </w:r>
      <w:r>
        <w:rPr>
          <w:spacing w:val="-13"/>
        </w:rPr>
        <w:t xml:space="preserve">原因是：乡村振兴项目支出增加；年末结转和结余 </w:t>
      </w:r>
      <w:r>
        <w:t>227.78</w:t>
      </w:r>
      <w:r>
        <w:rPr>
          <w:spacing w:val="-24"/>
        </w:rPr>
        <w:t xml:space="preserve"> 万元， </w:t>
      </w:r>
      <w:r>
        <w:rPr>
          <w:spacing w:val="-38"/>
        </w:rPr>
        <w:t xml:space="preserve">较 </w:t>
      </w:r>
      <w:r>
        <w:t>2019</w:t>
      </w:r>
      <w:r>
        <w:rPr>
          <w:spacing w:val="-31"/>
        </w:rPr>
        <w:t xml:space="preserve"> 年增加 </w:t>
      </w:r>
      <w:r>
        <w:t>72.11</w:t>
      </w:r>
      <w:r>
        <w:rPr>
          <w:spacing w:val="-23"/>
        </w:rPr>
        <w:t xml:space="preserve"> 万元，增长 </w:t>
      </w:r>
      <w:r>
        <w:t>31.66%，</w:t>
      </w:r>
      <w:r>
        <w:rPr>
          <w:spacing w:val="-4"/>
        </w:rPr>
        <w:t>主要原因是：项目应付款结转结余。</w:t>
      </w:r>
    </w:p>
    <w:p>
      <w:pPr>
        <w:pStyle w:val="3"/>
        <w:spacing w:before="6" w:line="388" w:lineRule="auto"/>
        <w:ind w:left="120" w:right="809" w:firstLine="630"/>
      </w:pPr>
      <w:r>
        <w:rPr>
          <w:spacing w:val="-5"/>
        </w:rPr>
        <w:t xml:space="preserve">本年支出的具体构成为：基本支出 </w:t>
      </w:r>
      <w:r>
        <w:t>898.42</w:t>
      </w:r>
      <w:r>
        <w:rPr>
          <w:spacing w:val="-16"/>
        </w:rPr>
        <w:t xml:space="preserve"> 万元，占48.85%；</w:t>
      </w:r>
      <w:r>
        <w:rPr>
          <w:spacing w:val="-28"/>
        </w:rPr>
        <w:t xml:space="preserve">项目支出 </w:t>
      </w:r>
      <w:r>
        <w:t>940.54</w:t>
      </w:r>
      <w:r>
        <w:rPr>
          <w:spacing w:val="-26"/>
        </w:rPr>
        <w:t xml:space="preserve"> 万元，占 </w:t>
      </w:r>
      <w:r>
        <w:t>51.15%；</w:t>
      </w:r>
      <w:r>
        <w:rPr>
          <w:spacing w:val="-15"/>
        </w:rPr>
        <w:t xml:space="preserve">经营支出 </w:t>
      </w:r>
      <w:r>
        <w:t>0</w:t>
      </w:r>
      <w:r>
        <w:rPr>
          <w:spacing w:val="-20"/>
        </w:rPr>
        <w:t xml:space="preserve"> 万元， </w:t>
      </w:r>
      <w:r>
        <w:rPr>
          <w:spacing w:val="-48"/>
        </w:rPr>
        <w:t xml:space="preserve">占 </w:t>
      </w:r>
      <w:r>
        <w:rPr>
          <w:spacing w:val="-25"/>
        </w:rPr>
        <w:t>0%</w:t>
      </w:r>
      <w:r>
        <w:rPr>
          <w:spacing w:val="-15"/>
        </w:rPr>
        <w:t>；其他支出</w:t>
      </w:r>
      <w:r>
        <w:t>（</w:t>
      </w:r>
      <w:r>
        <w:rPr>
          <w:spacing w:val="-5"/>
        </w:rPr>
        <w:t>对附属单位补助支出、上缴上级支出</w:t>
      </w:r>
      <w:r>
        <w:rPr>
          <w:spacing w:val="-38"/>
        </w:rPr>
        <w:t>）0</w:t>
      </w:r>
      <w:r>
        <w:rPr>
          <w:spacing w:val="-25"/>
        </w:rPr>
        <w:t xml:space="preserve"> 万元， </w:t>
      </w:r>
      <w:r>
        <w:rPr>
          <w:spacing w:val="-38"/>
        </w:rPr>
        <w:t xml:space="preserve">占 </w:t>
      </w:r>
      <w:r>
        <w:t>0%。</w:t>
      </w:r>
    </w:p>
    <w:p>
      <w:pPr>
        <w:pStyle w:val="3"/>
        <w:spacing w:before="6"/>
        <w:ind w:left="750"/>
        <w:rPr>
          <w:rFonts w:hint="eastAsia" w:ascii="黑体" w:eastAsia="黑体"/>
        </w:rPr>
      </w:pPr>
      <w:r>
        <w:rPr>
          <w:rFonts w:hint="eastAsia" w:ascii="黑体" w:eastAsia="黑体"/>
        </w:rPr>
        <w:t>三、财政拨款支出决算情况说明</w:t>
      </w:r>
    </w:p>
    <w:p>
      <w:pPr>
        <w:pStyle w:val="3"/>
        <w:spacing w:before="239"/>
        <w:ind w:left="750"/>
        <w:rPr>
          <w:rFonts w:ascii="Times New Roman" w:eastAsia="Times New Roman"/>
          <w:sz w:val="32"/>
        </w:rPr>
      </w:pPr>
      <w:r>
        <w:t xml:space="preserve">本部门 2020 年度财政拨款本年支出年初预算数为 </w:t>
      </w:r>
      <w:r>
        <w:rPr>
          <w:rFonts w:ascii="Times New Roman" w:eastAsia="Times New Roman"/>
          <w:sz w:val="32"/>
        </w:rPr>
        <w:t>889.05</w:t>
      </w:r>
    </w:p>
    <w:p>
      <w:pPr>
        <w:spacing w:after="0"/>
        <w:rPr>
          <w:rFonts w:ascii="Times New Roman" w:eastAsia="Times New Roman"/>
          <w:sz w:val="32"/>
        </w:rPr>
        <w:sectPr>
          <w:pgSz w:w="11910" w:h="16840"/>
          <w:pgMar w:top="1540" w:right="840" w:bottom="280" w:left="1680" w:header="720" w:footer="720" w:gutter="0"/>
          <w:cols w:space="720" w:num="1"/>
        </w:sectPr>
      </w:pPr>
    </w:p>
    <w:p>
      <w:pPr>
        <w:pStyle w:val="3"/>
        <w:spacing w:before="44"/>
        <w:ind w:left="120"/>
        <w:jc w:val="both"/>
      </w:pPr>
      <w:r>
        <w:t>万元，决算数为 2051.03 万元，完成年初预算的 230.7%。其中：</w:t>
      </w:r>
    </w:p>
    <w:p>
      <w:pPr>
        <w:pStyle w:val="3"/>
        <w:spacing w:before="239" w:line="388" w:lineRule="auto"/>
        <w:ind w:left="120" w:right="959" w:firstLine="630"/>
        <w:jc w:val="both"/>
      </w:pPr>
      <w:r>
        <w:t>（一）</w:t>
      </w:r>
      <w:r>
        <w:rPr>
          <w:spacing w:val="-5"/>
        </w:rPr>
        <w:t xml:space="preserve">一般公共服务支出年初预算数为 </w:t>
      </w:r>
      <w:r>
        <w:rPr>
          <w:rFonts w:ascii="Times New Roman" w:eastAsia="Times New Roman"/>
          <w:sz w:val="32"/>
        </w:rPr>
        <w:t xml:space="preserve">509.72 </w:t>
      </w:r>
      <w:r>
        <w:t>万元，决算</w:t>
      </w:r>
      <w:r>
        <w:rPr>
          <w:spacing w:val="-25"/>
        </w:rPr>
        <w:t xml:space="preserve">数为 </w:t>
      </w:r>
      <w:r>
        <w:t>283.83</w:t>
      </w:r>
      <w:r>
        <w:rPr>
          <w:spacing w:val="-15"/>
        </w:rPr>
        <w:t xml:space="preserve"> 万元，完成年初预算的 </w:t>
      </w:r>
      <w:r>
        <w:t>55.68%，</w:t>
      </w:r>
      <w:r>
        <w:rPr>
          <w:spacing w:val="-6"/>
        </w:rPr>
        <w:t>主要原因是：厉行</w:t>
      </w:r>
      <w:r>
        <w:t>节约，优化支出结构。</w:t>
      </w:r>
    </w:p>
    <w:p>
      <w:pPr>
        <w:pStyle w:val="3"/>
        <w:spacing w:before="4" w:line="388" w:lineRule="auto"/>
        <w:ind w:left="120" w:right="959" w:firstLine="630"/>
        <w:jc w:val="both"/>
      </w:pPr>
      <w:r>
        <w:t>（二</w:t>
      </w:r>
      <w:r>
        <w:rPr>
          <w:spacing w:val="-75"/>
        </w:rPr>
        <w:t>）</w:t>
      </w:r>
      <w:r>
        <w:rPr>
          <w:spacing w:val="-5"/>
        </w:rPr>
        <w:t xml:space="preserve">文化旅游体育与传媒支出年初预算数为 </w:t>
      </w:r>
      <w:r>
        <w:t>0</w:t>
      </w:r>
      <w:r>
        <w:rPr>
          <w:spacing w:val="-25"/>
        </w:rPr>
        <w:t xml:space="preserve"> 万元，决算数为 </w:t>
      </w:r>
      <w:r>
        <w:t>23</w:t>
      </w:r>
      <w:r>
        <w:rPr>
          <w:spacing w:val="-9"/>
        </w:rPr>
        <w:t xml:space="preserve"> 万元，主要原因是：年初预算不精准。</w:t>
      </w:r>
    </w:p>
    <w:p>
      <w:pPr>
        <w:pStyle w:val="3"/>
        <w:spacing w:before="3" w:line="388" w:lineRule="auto"/>
        <w:ind w:left="120" w:right="959" w:firstLine="630"/>
        <w:jc w:val="both"/>
      </w:pPr>
      <w:r>
        <w:t>（三</w:t>
      </w:r>
      <w:r>
        <w:rPr>
          <w:spacing w:val="-75"/>
        </w:rPr>
        <w:t>）</w:t>
      </w:r>
      <w:r>
        <w:rPr>
          <w:spacing w:val="-5"/>
        </w:rPr>
        <w:t xml:space="preserve">社会保障和就业支出年初预算数为 </w:t>
      </w:r>
      <w:r>
        <w:t>50.76</w:t>
      </w:r>
      <w:r>
        <w:rPr>
          <w:spacing w:val="-25"/>
        </w:rPr>
        <w:t xml:space="preserve"> 万元，决算数为 </w:t>
      </w:r>
      <w:r>
        <w:t>56.36</w:t>
      </w:r>
      <w:r>
        <w:rPr>
          <w:spacing w:val="-15"/>
        </w:rPr>
        <w:t xml:space="preserve"> 万元，完成年初预算的 </w:t>
      </w:r>
      <w:r>
        <w:t>111.03%，</w:t>
      </w:r>
      <w:r>
        <w:rPr>
          <w:spacing w:val="-6"/>
        </w:rPr>
        <w:t>主要原因是：养老</w:t>
      </w:r>
      <w:r>
        <w:t>保 险缴费基数标准提高及人员增加。</w:t>
      </w:r>
    </w:p>
    <w:p>
      <w:pPr>
        <w:pStyle w:val="3"/>
        <w:spacing w:before="4"/>
        <w:ind w:left="705"/>
        <w:jc w:val="both"/>
      </w:pPr>
      <w:r>
        <w:t>（四</w:t>
      </w:r>
      <w:r>
        <w:rPr>
          <w:spacing w:val="-75"/>
        </w:rPr>
        <w:t>）</w:t>
      </w:r>
      <w:r>
        <w:rPr>
          <w:spacing w:val="-6"/>
        </w:rPr>
        <w:t xml:space="preserve">卫生健康支出年初预算数为 </w:t>
      </w:r>
      <w:r>
        <w:t>44.63</w:t>
      </w:r>
      <w:r>
        <w:rPr>
          <w:spacing w:val="-27"/>
        </w:rPr>
        <w:t xml:space="preserve"> 万元，决算数为 </w:t>
      </w:r>
      <w:r>
        <w:t>23</w:t>
      </w:r>
    </w:p>
    <w:p>
      <w:pPr>
        <w:pStyle w:val="3"/>
        <w:spacing w:before="240"/>
        <w:ind w:left="120"/>
        <w:jc w:val="both"/>
      </w:pPr>
      <w:r>
        <w:t>万元，完成年初预算的 20.13%，主要原因是：项目支出减少。</w:t>
      </w:r>
    </w:p>
    <w:p>
      <w:pPr>
        <w:pStyle w:val="3"/>
        <w:spacing w:before="239"/>
        <w:ind w:left="705"/>
        <w:jc w:val="both"/>
      </w:pPr>
      <w:r>
        <w:t>（五</w:t>
      </w:r>
      <w:r>
        <w:rPr>
          <w:spacing w:val="-75"/>
        </w:rPr>
        <w:t>）</w:t>
      </w:r>
      <w:r>
        <w:rPr>
          <w:spacing w:val="-6"/>
        </w:rPr>
        <w:t xml:space="preserve">节能环保支出年初预算数为 </w:t>
      </w:r>
      <w:r>
        <w:t>0</w:t>
      </w:r>
      <w:r>
        <w:rPr>
          <w:spacing w:val="-27"/>
        </w:rPr>
        <w:t xml:space="preserve"> 万元，决算数为 </w:t>
      </w:r>
      <w:r>
        <w:t>811.96</w:t>
      </w:r>
    </w:p>
    <w:p>
      <w:pPr>
        <w:pStyle w:val="3"/>
        <w:spacing w:before="240"/>
        <w:ind w:left="120"/>
      </w:pPr>
      <w:r>
        <w:t>万元，主要原因是：年初预算不精准。</w:t>
      </w:r>
    </w:p>
    <w:p>
      <w:pPr>
        <w:pStyle w:val="3"/>
        <w:spacing w:before="239"/>
        <w:ind w:left="705"/>
        <w:jc w:val="both"/>
      </w:pPr>
      <w:r>
        <w:t>（六</w:t>
      </w:r>
      <w:r>
        <w:rPr>
          <w:spacing w:val="-75"/>
        </w:rPr>
        <w:t>）</w:t>
      </w:r>
      <w:r>
        <w:rPr>
          <w:spacing w:val="-6"/>
        </w:rPr>
        <w:t xml:space="preserve">城乡社区支出年初预算数为 </w:t>
      </w:r>
      <w:r>
        <w:t>0</w:t>
      </w:r>
      <w:r>
        <w:rPr>
          <w:spacing w:val="-27"/>
        </w:rPr>
        <w:t xml:space="preserve"> 万元，决算数为 </w:t>
      </w:r>
      <w:r>
        <w:t>244.42</w:t>
      </w:r>
    </w:p>
    <w:p>
      <w:pPr>
        <w:pStyle w:val="3"/>
        <w:spacing w:before="240"/>
        <w:ind w:left="120"/>
      </w:pPr>
      <w:r>
        <w:t>万元，主要原因是：征地和拆迁补偿支出。</w:t>
      </w:r>
    </w:p>
    <w:p>
      <w:pPr>
        <w:pStyle w:val="3"/>
        <w:spacing w:before="240"/>
        <w:ind w:left="705"/>
      </w:pPr>
      <w:r>
        <w:t>（七）农林水支出年初预算数为 248.63 万元，决算数为</w:t>
      </w:r>
    </w:p>
    <w:p>
      <w:pPr>
        <w:pStyle w:val="3"/>
        <w:spacing w:before="239" w:line="388" w:lineRule="auto"/>
        <w:ind w:left="120" w:right="959"/>
      </w:pPr>
      <w:r>
        <w:t>503.91</w:t>
      </w:r>
      <w:r>
        <w:rPr>
          <w:spacing w:val="-15"/>
        </w:rPr>
        <w:t xml:space="preserve"> 万元，完成年初预算的 </w:t>
      </w:r>
      <w:r>
        <w:t>202.67%，</w:t>
      </w:r>
      <w:r>
        <w:rPr>
          <w:spacing w:val="-14"/>
        </w:rPr>
        <w:t>主要原因是：项目支出</w:t>
      </w:r>
      <w:r>
        <w:t>增加。</w:t>
      </w:r>
    </w:p>
    <w:p>
      <w:pPr>
        <w:pStyle w:val="3"/>
        <w:spacing w:before="3"/>
        <w:ind w:left="705"/>
      </w:pPr>
      <w:r>
        <w:t>（八）住房保障支出年初预算数为 35.31 万元，决算数为</w:t>
      </w:r>
    </w:p>
    <w:p>
      <w:pPr>
        <w:pStyle w:val="3"/>
        <w:spacing w:before="240"/>
        <w:ind w:left="120"/>
      </w:pPr>
      <w:r>
        <w:t>35.31 万元，完成年初预算的 100%。</w:t>
      </w:r>
    </w:p>
    <w:p>
      <w:pPr>
        <w:spacing w:after="0"/>
        <w:sectPr>
          <w:pgSz w:w="11910" w:h="16840"/>
          <w:pgMar w:top="1500" w:right="840" w:bottom="280" w:left="1680" w:header="720" w:footer="720" w:gutter="0"/>
          <w:cols w:space="720" w:num="1"/>
        </w:sectPr>
      </w:pPr>
    </w:p>
    <w:p>
      <w:pPr>
        <w:pStyle w:val="3"/>
        <w:rPr>
          <w:sz w:val="20"/>
        </w:rPr>
      </w:pPr>
    </w:p>
    <w:p>
      <w:pPr>
        <w:pStyle w:val="3"/>
        <w:spacing w:before="5"/>
        <w:rPr>
          <w:sz w:val="21"/>
        </w:rPr>
      </w:pPr>
    </w:p>
    <w:p>
      <w:pPr>
        <w:pStyle w:val="3"/>
        <w:spacing w:before="58"/>
        <w:ind w:left="705"/>
        <w:rPr>
          <w:rFonts w:hint="eastAsia" w:ascii="黑体" w:eastAsia="黑体"/>
        </w:rPr>
      </w:pPr>
      <w:r>
        <w:rPr>
          <w:rFonts w:hint="eastAsia" w:ascii="黑体" w:eastAsia="黑体"/>
        </w:rPr>
        <w:t>四、一般公共预算财政拨款基本支出决算情况说明</w:t>
      </w:r>
    </w:p>
    <w:p>
      <w:pPr>
        <w:pStyle w:val="3"/>
        <w:spacing w:before="239"/>
        <w:ind w:left="705"/>
      </w:pPr>
      <w:r>
        <w:t>本部门 2020 年度一般公共预算财政拨款基本支出 898.42</w:t>
      </w:r>
    </w:p>
    <w:p>
      <w:pPr>
        <w:pStyle w:val="3"/>
        <w:spacing w:before="240"/>
        <w:ind w:left="120"/>
      </w:pPr>
      <w:r>
        <w:t>万元，其中：</w:t>
      </w:r>
    </w:p>
    <w:p>
      <w:pPr>
        <w:pStyle w:val="3"/>
        <w:spacing w:before="239"/>
        <w:ind w:left="705"/>
      </w:pPr>
      <w:r>
        <w:t>（一）</w:t>
      </w:r>
      <w:r>
        <w:rPr>
          <w:spacing w:val="-11"/>
        </w:rPr>
        <w:t xml:space="preserve">工资福利支出 </w:t>
      </w:r>
      <w:r>
        <w:t>450.75</w:t>
      </w:r>
      <w:r>
        <w:rPr>
          <w:spacing w:val="-26"/>
        </w:rPr>
        <w:t xml:space="preserve"> 万元，较 </w:t>
      </w:r>
      <w:r>
        <w:t>2019</w:t>
      </w:r>
      <w:r>
        <w:rPr>
          <w:spacing w:val="-31"/>
        </w:rPr>
        <w:t xml:space="preserve"> 年减少 </w:t>
      </w:r>
      <w:r>
        <w:t>135.28</w:t>
      </w:r>
    </w:p>
    <w:p>
      <w:pPr>
        <w:pStyle w:val="3"/>
        <w:spacing w:before="240"/>
        <w:ind w:left="120"/>
      </w:pPr>
      <w:r>
        <w:rPr>
          <w:spacing w:val="-13"/>
        </w:rPr>
        <w:t xml:space="preserve">万元，下降 </w:t>
      </w:r>
      <w:r>
        <w:t>23.08%，主要原因是：厉行节约，优化支出结构。</w:t>
      </w:r>
    </w:p>
    <w:p>
      <w:pPr>
        <w:pStyle w:val="3"/>
        <w:spacing w:before="240"/>
        <w:ind w:left="705"/>
      </w:pPr>
      <w:r>
        <w:t>（二</w:t>
      </w:r>
      <w:r>
        <w:rPr>
          <w:spacing w:val="-75"/>
        </w:rPr>
        <w:t>）</w:t>
      </w:r>
      <w:r>
        <w:rPr>
          <w:spacing w:val="-10"/>
        </w:rPr>
        <w:t xml:space="preserve">商品和服务支出 </w:t>
      </w:r>
      <w:r>
        <w:t>73.46</w:t>
      </w:r>
      <w:r>
        <w:rPr>
          <w:spacing w:val="-26"/>
        </w:rPr>
        <w:t xml:space="preserve"> 万元，较 </w:t>
      </w:r>
      <w:r>
        <w:t>2019</w:t>
      </w:r>
      <w:r>
        <w:rPr>
          <w:spacing w:val="-20"/>
        </w:rPr>
        <w:t xml:space="preserve"> 年增加</w:t>
      </w:r>
      <w:r>
        <w:t>（减少）</w:t>
      </w:r>
    </w:p>
    <w:p>
      <w:pPr>
        <w:pStyle w:val="3"/>
        <w:spacing w:before="239" w:line="388" w:lineRule="auto"/>
        <w:ind w:left="120" w:right="1015"/>
      </w:pPr>
      <w:r>
        <w:t>5.77 万元，增长（下降）7.28 %，主要原因是：厉行节约，优化支出结构。</w:t>
      </w:r>
    </w:p>
    <w:p>
      <w:pPr>
        <w:pStyle w:val="3"/>
        <w:spacing w:before="3"/>
        <w:ind w:left="705"/>
      </w:pPr>
      <w:r>
        <w:t>（三）对个人和家庭补助支出 374.2 万元，较 2019 年减少</w:t>
      </w:r>
    </w:p>
    <w:p>
      <w:pPr>
        <w:pStyle w:val="3"/>
        <w:spacing w:before="240" w:line="388" w:lineRule="auto"/>
        <w:ind w:left="120" w:right="884"/>
      </w:pPr>
      <w:r>
        <w:t>7.65</w:t>
      </w:r>
      <w:r>
        <w:rPr>
          <w:spacing w:val="-19"/>
        </w:rPr>
        <w:t xml:space="preserve"> 万元，增长下降 </w:t>
      </w:r>
      <w:r>
        <w:t>2</w:t>
      </w:r>
      <w:r>
        <w:rPr>
          <w:spacing w:val="-4"/>
        </w:rPr>
        <w:t xml:space="preserve"> %，主要原因是：厉行节约，优化支出结</w:t>
      </w:r>
      <w:r>
        <w:t>构。</w:t>
      </w:r>
    </w:p>
    <w:p>
      <w:pPr>
        <w:pStyle w:val="3"/>
        <w:spacing w:before="2"/>
        <w:ind w:left="705"/>
      </w:pPr>
      <w:r>
        <w:t>（四）资本性支出 0 万元，较 2018 年持平。</w:t>
      </w:r>
    </w:p>
    <w:p>
      <w:pPr>
        <w:pStyle w:val="3"/>
        <w:spacing w:before="240"/>
        <w:ind w:left="750"/>
        <w:rPr>
          <w:rFonts w:hint="eastAsia" w:ascii="黑体" w:hAnsi="黑体" w:eastAsia="黑体"/>
        </w:rPr>
      </w:pPr>
      <w:r>
        <w:rPr>
          <w:rFonts w:hint="eastAsia" w:ascii="黑体" w:hAnsi="黑体" w:eastAsia="黑体"/>
        </w:rPr>
        <w:t>五、一般公共预算财政拨款“三公”经费支出决算情况说明</w:t>
      </w:r>
    </w:p>
    <w:p>
      <w:pPr>
        <w:pStyle w:val="3"/>
        <w:spacing w:before="239" w:line="388" w:lineRule="auto"/>
        <w:ind w:left="120" w:right="809" w:firstLine="630"/>
      </w:pPr>
      <w:r>
        <w:rPr>
          <w:spacing w:val="-19"/>
        </w:rPr>
        <w:t xml:space="preserve">本部门 </w:t>
      </w:r>
      <w:r>
        <w:t>2020</w:t>
      </w:r>
      <w:r>
        <w:rPr>
          <w:spacing w:val="-9"/>
        </w:rPr>
        <w:t xml:space="preserve"> 年度一般公共预算财政拨款“三公”经费支出</w:t>
      </w:r>
      <w:r>
        <w:rPr>
          <w:spacing w:val="-19"/>
        </w:rPr>
        <w:t xml:space="preserve">年初预算数为 </w:t>
      </w:r>
      <w:r>
        <w:t>20</w:t>
      </w:r>
      <w:r>
        <w:rPr>
          <w:spacing w:val="-19"/>
        </w:rPr>
        <w:t xml:space="preserve"> 万元，决算数为 </w:t>
      </w:r>
      <w:r>
        <w:t>14.09</w:t>
      </w:r>
      <w:r>
        <w:rPr>
          <w:spacing w:val="-10"/>
        </w:rPr>
        <w:t xml:space="preserve"> 万元，完成预算的70.45%，</w:t>
      </w:r>
      <w:r>
        <w:rPr>
          <w:spacing w:val="-23"/>
        </w:rPr>
        <w:t xml:space="preserve">决算数较 </w:t>
      </w:r>
      <w:r>
        <w:t>2019</w:t>
      </w:r>
      <w:r>
        <w:rPr>
          <w:spacing w:val="-31"/>
        </w:rPr>
        <w:t xml:space="preserve"> 年减少 </w:t>
      </w:r>
      <w:r>
        <w:t>3.91</w:t>
      </w:r>
      <w:r>
        <w:rPr>
          <w:spacing w:val="-23"/>
        </w:rPr>
        <w:t xml:space="preserve"> 万元，下降 </w:t>
      </w:r>
      <w:r>
        <w:t>21.72%，</w:t>
      </w:r>
      <w:r>
        <w:rPr>
          <w:spacing w:val="-13"/>
        </w:rPr>
        <w:t>其中：</w:t>
      </w:r>
    </w:p>
    <w:p>
      <w:pPr>
        <w:keepNext w:val="0"/>
        <w:keepLines w:val="0"/>
        <w:pageBreakBefore w:val="0"/>
        <w:widowControl w:val="0"/>
        <w:kinsoku/>
        <w:wordWrap/>
        <w:overflowPunct/>
        <w:topLinePunct w:val="0"/>
        <w:autoSpaceDE w:val="0"/>
        <w:autoSpaceDN w:val="0"/>
        <w:bidi w:val="0"/>
        <w:adjustRightInd/>
        <w:snapToGrid/>
        <w:spacing w:line="389" w:lineRule="auto"/>
        <w:ind w:firstLine="630"/>
        <w:jc w:val="left"/>
        <w:textAlignment w:val="auto"/>
        <w:rPr>
          <w:rFonts w:ascii="仿宋" w:hAnsi="仿宋" w:eastAsia="仿宋" w:cs="仿宋"/>
          <w:spacing w:val="-19"/>
          <w:sz w:val="30"/>
          <w:szCs w:val="30"/>
          <w:lang w:val="en-US" w:eastAsia="zh-CN" w:bidi="ar-SA"/>
        </w:rPr>
      </w:pPr>
      <w:r>
        <w:rPr>
          <w:rFonts w:ascii="仿宋" w:hAnsi="仿宋" w:eastAsia="仿宋" w:cs="仿宋"/>
          <w:spacing w:val="-19"/>
          <w:sz w:val="30"/>
          <w:szCs w:val="30"/>
          <w:lang w:val="en-US" w:eastAsia="zh-CN" w:bidi="ar-SA"/>
        </w:rPr>
        <w:t>（一）</w:t>
      </w:r>
      <w:r>
        <w:rPr>
          <w:rFonts w:hint="eastAsia" w:ascii="仿宋" w:hAnsi="仿宋" w:eastAsia="仿宋" w:cs="仿宋"/>
          <w:spacing w:val="-19"/>
          <w:sz w:val="30"/>
          <w:szCs w:val="30"/>
          <w:lang w:val="en-US" w:eastAsia="zh-CN" w:bidi="ar-SA"/>
        </w:rPr>
        <w:t>因公出国（境）支出年初预算数为0万元，决算数为0万元，完成预算的0%，决算数较2019年增加0万元，增长0%，主要原因是未开展出国出境活动，无</w:t>
      </w:r>
      <w:r>
        <w:rPr>
          <w:rFonts w:ascii="仿宋" w:hAnsi="仿宋" w:eastAsia="仿宋" w:cs="仿宋"/>
          <w:spacing w:val="-19"/>
          <w:sz w:val="30"/>
          <w:szCs w:val="30"/>
          <w:lang w:val="en-US" w:eastAsia="zh-CN" w:bidi="ar-SA"/>
        </w:rPr>
        <w:t>公出国（境）支出</w:t>
      </w:r>
      <w:r>
        <w:rPr>
          <w:rFonts w:hint="eastAsia" w:ascii="仿宋" w:hAnsi="仿宋" w:eastAsia="仿宋" w:cs="仿宋"/>
          <w:spacing w:val="-19"/>
          <w:sz w:val="30"/>
          <w:szCs w:val="30"/>
          <w:lang w:val="en-US" w:eastAsia="zh-CN" w:bidi="ar-SA"/>
        </w:rPr>
        <w:t>。决算数较年初预算数增加的主要原因是：未开展出国出境活动，无</w:t>
      </w:r>
      <w:r>
        <w:rPr>
          <w:rFonts w:ascii="仿宋" w:hAnsi="仿宋" w:eastAsia="仿宋" w:cs="仿宋"/>
          <w:spacing w:val="-19"/>
          <w:sz w:val="30"/>
          <w:szCs w:val="30"/>
          <w:lang w:val="en-US" w:eastAsia="zh-CN" w:bidi="ar-SA"/>
        </w:rPr>
        <w:t>公出国（境）支出</w:t>
      </w:r>
      <w:r>
        <w:rPr>
          <w:rFonts w:hint="eastAsia" w:ascii="仿宋" w:hAnsi="仿宋" w:eastAsia="仿宋" w:cs="仿宋"/>
          <w:spacing w:val="-19"/>
          <w:sz w:val="30"/>
          <w:szCs w:val="30"/>
          <w:lang w:val="en-US" w:eastAsia="zh-CN" w:bidi="ar-SA"/>
        </w:rPr>
        <w:t>。全年安排因公出国（境）团组0个，累计0人次，主要为：未开展出国出境活动，无</w:t>
      </w:r>
      <w:r>
        <w:rPr>
          <w:rFonts w:ascii="仿宋" w:hAnsi="仿宋" w:eastAsia="仿宋" w:cs="仿宋"/>
          <w:spacing w:val="-19"/>
          <w:sz w:val="30"/>
          <w:szCs w:val="30"/>
          <w:lang w:val="en-US" w:eastAsia="zh-CN" w:bidi="ar-SA"/>
        </w:rPr>
        <w:t>公出国（境）支出</w:t>
      </w:r>
      <w:r>
        <w:rPr>
          <w:rFonts w:hint="eastAsia" w:ascii="仿宋" w:hAnsi="仿宋" w:eastAsia="仿宋" w:cs="仿宋"/>
          <w:spacing w:val="-19"/>
          <w:sz w:val="30"/>
          <w:szCs w:val="30"/>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line="389" w:lineRule="auto"/>
        <w:ind w:firstLine="560" w:firstLineChars="200"/>
        <w:textAlignment w:val="auto"/>
        <w:rPr>
          <w:rFonts w:hint="default" w:ascii="仿宋" w:hAnsi="仿宋" w:eastAsia="仿宋" w:cs="仿宋"/>
          <w:spacing w:val="-18"/>
          <w:sz w:val="30"/>
          <w:szCs w:val="30"/>
          <w:lang w:val="en-US" w:eastAsia="zh-CN" w:bidi="ar-SA"/>
        </w:rPr>
      </w:pPr>
      <w:r>
        <w:rPr>
          <w:sz w:val="28"/>
          <w:szCs w:val="28"/>
        </w:rPr>
        <w:t>（二）</w:t>
      </w:r>
      <w:r>
        <w:rPr>
          <w:rFonts w:hint="eastAsia" w:ascii="仿宋" w:hAnsi="仿宋" w:eastAsia="仿宋" w:cs="仿宋"/>
          <w:spacing w:val="-5"/>
          <w:sz w:val="30"/>
          <w:szCs w:val="30"/>
          <w:lang w:val="en-US" w:eastAsia="zh-CN" w:bidi="ar-SA"/>
        </w:rPr>
        <w:t>公务接待费支出年初预算数为 12 万元，决算数为9.48 万元，完成预算的 79%，决算数较 2019 年减少 2.52 万元， 下降 21%，主要原因是严格管理控制运行维护费支出。决算数较年初预算数减少的主要原因是：严格管理控制运行维护费支出。全年国内公务接待120批，累计接待1168人次，其中外事接待0批，累计接待0人次。</w:t>
      </w:r>
    </w:p>
    <w:p>
      <w:pPr>
        <w:pStyle w:val="3"/>
        <w:spacing w:before="239" w:line="388" w:lineRule="auto"/>
        <w:ind w:left="120" w:right="809" w:firstLine="630"/>
      </w:pPr>
      <w:r>
        <w:t>（三）</w:t>
      </w:r>
      <w:r>
        <w:rPr>
          <w:spacing w:val="-5"/>
        </w:rPr>
        <w:t xml:space="preserve">公务用车购置及运行维护费支出 </w:t>
      </w:r>
      <w:r>
        <w:t>4.61</w:t>
      </w:r>
      <w:r>
        <w:rPr>
          <w:spacing w:val="-12"/>
        </w:rPr>
        <w:t xml:space="preserve"> 万元，其中公</w:t>
      </w:r>
      <w:r>
        <w:rPr>
          <w:spacing w:val="-18"/>
        </w:rPr>
        <w:t xml:space="preserve">务用车购置年初预算数为 </w:t>
      </w:r>
      <w:r>
        <w:t>0</w:t>
      </w:r>
      <w:r>
        <w:rPr>
          <w:spacing w:val="-19"/>
        </w:rPr>
        <w:t xml:space="preserve"> 万元，决算数为 </w:t>
      </w:r>
      <w:r>
        <w:t>0</w:t>
      </w:r>
      <w:r>
        <w:rPr>
          <w:spacing w:val="-21"/>
        </w:rPr>
        <w:t xml:space="preserve"> 万元；公务用车运</w:t>
      </w:r>
      <w:r>
        <w:rPr>
          <w:spacing w:val="-26"/>
        </w:rPr>
        <w:t xml:space="preserve">行维护费支出年初预算数为 </w:t>
      </w:r>
      <w:r>
        <w:t>8</w:t>
      </w:r>
      <w:r>
        <w:rPr>
          <w:spacing w:val="-19"/>
        </w:rPr>
        <w:t xml:space="preserve"> 万元，决算数为 </w:t>
      </w:r>
      <w:r>
        <w:t>4.61</w:t>
      </w:r>
      <w:r>
        <w:rPr>
          <w:spacing w:val="-14"/>
        </w:rPr>
        <w:t xml:space="preserve"> 万元，完成</w:t>
      </w:r>
      <w:r>
        <w:rPr>
          <w:spacing w:val="-30"/>
        </w:rPr>
        <w:t xml:space="preserve">预算的 </w:t>
      </w:r>
      <w:r>
        <w:rPr>
          <w:spacing w:val="-7"/>
        </w:rPr>
        <w:t>57.63%</w:t>
      </w:r>
      <w:r>
        <w:rPr>
          <w:spacing w:val="-15"/>
        </w:rPr>
        <w:t xml:space="preserve">，决算数较 </w:t>
      </w:r>
      <w:r>
        <w:t>2019</w:t>
      </w:r>
      <w:r>
        <w:rPr>
          <w:spacing w:val="-31"/>
        </w:rPr>
        <w:t xml:space="preserve"> 年增加 </w:t>
      </w:r>
      <w:r>
        <w:t>0.61</w:t>
      </w:r>
      <w:r>
        <w:rPr>
          <w:spacing w:val="-29"/>
        </w:rPr>
        <w:t xml:space="preserve"> 万元，增长 </w:t>
      </w:r>
      <w:r>
        <w:rPr>
          <w:spacing w:val="-3"/>
        </w:rPr>
        <w:t xml:space="preserve">15.25%， </w:t>
      </w:r>
      <w:r>
        <w:t>主要原因是严格管理控制运行维护费支出，年末公务用车保有</w:t>
      </w:r>
    </w:p>
    <w:p>
      <w:pPr>
        <w:pStyle w:val="3"/>
        <w:spacing w:before="7"/>
        <w:ind w:left="120"/>
      </w:pPr>
      <w:r>
        <w:t>3 辆。决算数较年初预算数持平。</w:t>
      </w:r>
    </w:p>
    <w:p>
      <w:pPr>
        <w:pStyle w:val="3"/>
        <w:spacing w:before="240"/>
        <w:ind w:left="750"/>
        <w:rPr>
          <w:rFonts w:hint="eastAsia" w:ascii="黑体" w:eastAsia="黑体"/>
        </w:rPr>
      </w:pPr>
      <w:r>
        <w:rPr>
          <w:rFonts w:hint="eastAsia" w:ascii="黑体" w:eastAsia="黑体"/>
        </w:rPr>
        <w:t>六、机关运行经费支出情况说明</w:t>
      </w:r>
    </w:p>
    <w:p>
      <w:pPr>
        <w:pStyle w:val="3"/>
        <w:spacing w:before="239" w:line="388" w:lineRule="auto"/>
        <w:ind w:left="120" w:right="940" w:firstLine="585"/>
      </w:pPr>
      <w:r>
        <w:rPr>
          <w:spacing w:val="-19"/>
        </w:rPr>
        <w:t xml:space="preserve">本部门 </w:t>
      </w:r>
      <w:r>
        <w:t>2020</w:t>
      </w:r>
      <w:r>
        <w:rPr>
          <w:spacing w:val="-9"/>
        </w:rPr>
        <w:t xml:space="preserve"> 年度机关运行经费支出 </w:t>
      </w:r>
      <w:r>
        <w:t>73.46</w:t>
      </w:r>
      <w:r>
        <w:rPr>
          <w:spacing w:val="-26"/>
        </w:rPr>
        <w:t xml:space="preserve"> 万元</w:t>
      </w:r>
      <w:r>
        <w:t>（与部门决算中行政单位和参照公务员法管理事业单位一般公共预算财政拨款基本支出中公用经费之和一致</w:t>
      </w:r>
      <w:r>
        <w:rPr>
          <w:spacing w:val="-43"/>
        </w:rPr>
        <w:t>）</w:t>
      </w:r>
      <w:r>
        <w:rPr>
          <w:spacing w:val="-10"/>
        </w:rPr>
        <w:t>，较年初预算数</w:t>
      </w:r>
      <w:r>
        <w:t>（或者上年</w:t>
      </w:r>
      <w:r>
        <w:rPr>
          <w:spacing w:val="-13"/>
        </w:rPr>
        <w:t xml:space="preserve">决算数减少 </w:t>
      </w:r>
      <w:r>
        <w:t>63.08</w:t>
      </w:r>
      <w:r>
        <w:rPr>
          <w:spacing w:val="-23"/>
        </w:rPr>
        <w:t xml:space="preserve"> 万元，降低 </w:t>
      </w:r>
      <w:r>
        <w:t>46.2%，</w:t>
      </w:r>
      <w:r>
        <w:rPr>
          <w:spacing w:val="-2"/>
        </w:rPr>
        <w:t xml:space="preserve">主要原因是：厉行节约， </w:t>
      </w:r>
      <w:r>
        <w:t>优化支出结构。</w:t>
      </w:r>
    </w:p>
    <w:p>
      <w:pPr>
        <w:pStyle w:val="3"/>
        <w:spacing w:before="7"/>
        <w:ind w:left="732" w:right="4717"/>
        <w:jc w:val="center"/>
        <w:rPr>
          <w:rFonts w:hint="eastAsia" w:ascii="黑体" w:eastAsia="黑体"/>
        </w:rPr>
      </w:pPr>
      <w:r>
        <w:rPr>
          <w:rFonts w:hint="eastAsia" w:ascii="黑体" w:eastAsia="黑体"/>
        </w:rPr>
        <w:t>七、政府采购支出情况说明</w:t>
      </w:r>
    </w:p>
    <w:p>
      <w:pPr>
        <w:pStyle w:val="3"/>
        <w:spacing w:before="239" w:line="388" w:lineRule="auto"/>
        <w:ind w:left="120" w:right="959" w:firstLine="600"/>
        <w:jc w:val="both"/>
      </w:pPr>
      <w:r>
        <w:rPr>
          <w:spacing w:val="-17"/>
        </w:rPr>
        <w:t xml:space="preserve">本部门 </w:t>
      </w:r>
      <w:r>
        <w:t>2020</w:t>
      </w:r>
      <w:r>
        <w:rPr>
          <w:spacing w:val="-14"/>
        </w:rPr>
        <w:t xml:space="preserve"> 年度政府采购支出总额 </w:t>
      </w:r>
      <w:r>
        <w:t>53.68</w:t>
      </w:r>
      <w:r>
        <w:rPr>
          <w:spacing w:val="-10"/>
        </w:rPr>
        <w:t xml:space="preserve"> 万元，其中：政</w:t>
      </w:r>
      <w:r>
        <w:rPr>
          <w:spacing w:val="-19"/>
        </w:rPr>
        <w:t xml:space="preserve">府采购货物支出 </w:t>
      </w:r>
      <w:r>
        <w:t>14.98</w:t>
      </w:r>
      <w:r>
        <w:rPr>
          <w:spacing w:val="-18"/>
        </w:rPr>
        <w:t xml:space="preserve"> 万元、政府采购工程支出 </w:t>
      </w:r>
      <w:r>
        <w:t>0</w:t>
      </w:r>
      <w:r>
        <w:rPr>
          <w:spacing w:val="-22"/>
        </w:rPr>
        <w:t xml:space="preserve"> 万元、政府采</w:t>
      </w:r>
      <w:r>
        <w:rPr>
          <w:spacing w:val="-11"/>
        </w:rPr>
        <w:t xml:space="preserve">购服务支出 </w:t>
      </w:r>
      <w:r>
        <w:t>38.7</w:t>
      </w:r>
      <w:r>
        <w:rPr>
          <w:spacing w:val="-13"/>
        </w:rPr>
        <w:t xml:space="preserve"> 万元。授予中小企业合同金额 </w:t>
      </w:r>
      <w:r>
        <w:t>53.68</w:t>
      </w:r>
      <w:r>
        <w:rPr>
          <w:spacing w:val="-14"/>
        </w:rPr>
        <w:t xml:space="preserve"> 万元，占</w:t>
      </w:r>
    </w:p>
    <w:p>
      <w:pPr>
        <w:pStyle w:val="3"/>
        <w:spacing w:before="4"/>
        <w:ind w:left="120"/>
        <w:jc w:val="both"/>
      </w:pPr>
      <w:r>
        <w:rPr>
          <w:spacing w:val="-8"/>
        </w:rPr>
        <w:t xml:space="preserve">政府采购支出总额的 </w:t>
      </w:r>
      <w:r>
        <w:t>100%，</w:t>
      </w:r>
      <w:r>
        <w:rPr>
          <w:spacing w:val="-16"/>
        </w:rPr>
        <w:t xml:space="preserve">其中：授予小微企业合同金额 </w:t>
      </w:r>
      <w:r>
        <w:t>53.68</w:t>
      </w:r>
    </w:p>
    <w:p>
      <w:pPr>
        <w:pStyle w:val="3"/>
        <w:spacing w:before="240"/>
        <w:ind w:left="120"/>
        <w:jc w:val="both"/>
      </w:pPr>
      <w:r>
        <w:t>万元，占政府采购支出总额的 100%。</w:t>
      </w:r>
    </w:p>
    <w:p>
      <w:pPr>
        <w:pStyle w:val="3"/>
        <w:spacing w:before="240"/>
        <w:ind w:left="732" w:right="4717"/>
        <w:jc w:val="center"/>
        <w:rPr>
          <w:rFonts w:hint="eastAsia" w:ascii="黑体" w:eastAsia="黑体"/>
        </w:rPr>
      </w:pPr>
      <w:r>
        <w:rPr>
          <w:rFonts w:hint="eastAsia" w:ascii="黑体" w:eastAsia="黑体"/>
        </w:rPr>
        <w:t>八、国有资产占用情况说明。</w:t>
      </w:r>
    </w:p>
    <w:p>
      <w:pPr>
        <w:pStyle w:val="3"/>
        <w:spacing w:before="239" w:line="388" w:lineRule="auto"/>
        <w:ind w:left="120" w:right="985" w:firstLine="630"/>
        <w:jc w:val="both"/>
        <w:rPr>
          <w:rFonts w:hint="eastAsia" w:eastAsia="仿宋"/>
          <w:lang w:val="en-US" w:eastAsia="zh-CN"/>
        </w:rPr>
        <w:sectPr>
          <w:pgSz w:w="11910" w:h="16840"/>
          <w:pgMar w:top="1500" w:right="840" w:bottom="280" w:left="1680" w:header="720" w:footer="720" w:gutter="0"/>
          <w:cols w:space="720" w:num="1"/>
        </w:sectPr>
      </w:pPr>
      <w:r>
        <w:rPr>
          <w:spacing w:val="-25"/>
        </w:rPr>
        <w:t xml:space="preserve">截止 </w:t>
      </w:r>
      <w:r>
        <w:t>2020</w:t>
      </w:r>
      <w:r>
        <w:rPr>
          <w:spacing w:val="-51"/>
        </w:rPr>
        <w:t xml:space="preserve"> 年 </w:t>
      </w:r>
      <w:r>
        <w:t>12</w:t>
      </w:r>
      <w:r>
        <w:rPr>
          <w:spacing w:val="-51"/>
        </w:rPr>
        <w:t xml:space="preserve"> 月 </w:t>
      </w:r>
      <w:r>
        <w:t>31</w:t>
      </w:r>
      <w:r>
        <w:rPr>
          <w:spacing w:val="-14"/>
        </w:rPr>
        <w:t xml:space="preserve"> 日，本部门</w:t>
      </w:r>
      <w:r>
        <w:t>（单位）</w:t>
      </w:r>
      <w:r>
        <w:rPr>
          <w:spacing w:val="-3"/>
        </w:rPr>
        <w:t>国有资产占用情</w:t>
      </w:r>
      <w:r>
        <w:rPr>
          <w:spacing w:val="-15"/>
        </w:rPr>
        <w:t xml:space="preserve">况见公开 </w:t>
      </w:r>
      <w:r>
        <w:t>10</w:t>
      </w:r>
      <w:r>
        <w:rPr>
          <w:spacing w:val="-9"/>
        </w:rPr>
        <w:t xml:space="preserve"> 表《国有资产占用情况表》。</w:t>
      </w:r>
      <w:r>
        <w:rPr>
          <w:rFonts w:hint="eastAsia" w:ascii="仿宋" w:hAnsi="仿宋" w:eastAsia="仿宋"/>
          <w:kern w:val="0"/>
          <w:sz w:val="30"/>
          <w:szCs w:val="30"/>
        </w:rPr>
        <w:t>其中</w:t>
      </w:r>
      <w:r>
        <w:rPr>
          <w:rFonts w:hint="eastAsia"/>
          <w:kern w:val="0"/>
          <w:sz w:val="30"/>
          <w:szCs w:val="30"/>
          <w:lang w:eastAsia="zh-CN"/>
        </w:rPr>
        <w:t>：</w:t>
      </w:r>
      <w:bookmarkStart w:id="0" w:name="_GoBack"/>
      <w:bookmarkEnd w:id="0"/>
      <w:r>
        <w:rPr>
          <w:rFonts w:hint="eastAsia"/>
          <w:kern w:val="0"/>
          <w:sz w:val="30"/>
          <w:szCs w:val="30"/>
          <w:lang w:val="en-US" w:eastAsia="zh-CN"/>
        </w:rPr>
        <w:t>1、</w:t>
      </w:r>
      <w:r>
        <w:rPr>
          <w:rFonts w:hint="eastAsia" w:ascii="仿宋" w:hAnsi="仿宋" w:eastAsia="仿宋"/>
          <w:kern w:val="0"/>
          <w:sz w:val="30"/>
          <w:szCs w:val="30"/>
        </w:rPr>
        <w:t>车辆</w:t>
      </w:r>
      <w:r>
        <w:rPr>
          <w:rFonts w:hint="eastAsia"/>
          <w:kern w:val="0"/>
          <w:sz w:val="30"/>
          <w:szCs w:val="30"/>
          <w:lang w:eastAsia="zh-CN"/>
        </w:rPr>
        <w:t>有三辆，</w:t>
      </w:r>
      <w:r>
        <w:rPr>
          <w:rFonts w:hint="eastAsia"/>
          <w:kern w:val="0"/>
          <w:sz w:val="30"/>
          <w:szCs w:val="30"/>
          <w:lang w:val="en-US" w:eastAsia="zh-CN"/>
        </w:rPr>
        <w:t>2、</w:t>
      </w:r>
      <w:r>
        <w:rPr>
          <w:rFonts w:hint="eastAsia"/>
          <w:kern w:val="0"/>
          <w:sz w:val="30"/>
          <w:szCs w:val="30"/>
          <w:lang w:eastAsia="zh-CN"/>
        </w:rPr>
        <w:t>单价</w:t>
      </w:r>
      <w:r>
        <w:rPr>
          <w:rFonts w:hint="eastAsia"/>
          <w:kern w:val="0"/>
          <w:sz w:val="30"/>
          <w:szCs w:val="30"/>
          <w:lang w:val="en-US" w:eastAsia="zh-CN"/>
        </w:rPr>
        <w:t>50万元（含）以上通用设备（台、套）为零，3、</w:t>
      </w:r>
      <w:r>
        <w:rPr>
          <w:rFonts w:hint="eastAsia"/>
          <w:kern w:val="0"/>
          <w:sz w:val="30"/>
          <w:szCs w:val="30"/>
          <w:lang w:eastAsia="zh-CN"/>
        </w:rPr>
        <w:t>单价</w:t>
      </w:r>
      <w:r>
        <w:rPr>
          <w:rFonts w:hint="eastAsia"/>
          <w:kern w:val="0"/>
          <w:sz w:val="30"/>
          <w:szCs w:val="30"/>
          <w:lang w:val="en-US" w:eastAsia="zh-CN"/>
        </w:rPr>
        <w:t>100万元（含）以上专用设备（台、套）为零。</w:t>
      </w:r>
    </w:p>
    <w:p>
      <w:pPr>
        <w:pStyle w:val="3"/>
        <w:rPr>
          <w:sz w:val="20"/>
        </w:rPr>
      </w:pPr>
    </w:p>
    <w:p>
      <w:pPr>
        <w:pStyle w:val="3"/>
        <w:spacing w:before="5"/>
        <w:rPr>
          <w:sz w:val="21"/>
        </w:rPr>
      </w:pPr>
    </w:p>
    <w:p>
      <w:pPr>
        <w:pStyle w:val="3"/>
        <w:spacing w:before="58"/>
        <w:ind w:left="750"/>
        <w:rPr>
          <w:rFonts w:hint="eastAsia" w:ascii="黑体" w:eastAsia="黑体"/>
        </w:rPr>
      </w:pPr>
      <w:r>
        <w:rPr>
          <w:rFonts w:hint="eastAsia" w:ascii="黑体" w:eastAsia="黑体"/>
        </w:rPr>
        <w:t>九、预算绩效情况说明</w:t>
      </w:r>
    </w:p>
    <w:p>
      <w:pPr>
        <w:pStyle w:val="3"/>
        <w:spacing w:before="239"/>
        <w:ind w:left="1170"/>
      </w:pPr>
      <w:r>
        <w:t>（一）绩效管理工作开展情况。 详见附件</w:t>
      </w:r>
    </w:p>
    <w:p>
      <w:pPr>
        <w:pStyle w:val="3"/>
        <w:spacing w:before="240"/>
        <w:ind w:left="1275"/>
      </w:pPr>
      <w:r>
        <w:t>（二）部门决算中项目绩效自评结果。 详见附件</w:t>
      </w:r>
    </w:p>
    <w:p>
      <w:pPr>
        <w:pStyle w:val="3"/>
      </w:pPr>
    </w:p>
    <w:p>
      <w:pPr>
        <w:pStyle w:val="3"/>
      </w:pPr>
    </w:p>
    <w:p>
      <w:pPr>
        <w:pStyle w:val="3"/>
      </w:pPr>
    </w:p>
    <w:p>
      <w:pPr>
        <w:pStyle w:val="3"/>
      </w:pPr>
    </w:p>
    <w:p>
      <w:pPr>
        <w:pStyle w:val="3"/>
        <w:spacing w:before="6"/>
        <w:rPr>
          <w:sz w:val="39"/>
        </w:rPr>
      </w:pPr>
    </w:p>
    <w:p>
      <w:pPr>
        <w:pStyle w:val="2"/>
        <w:ind w:left="1954" w:right="1993"/>
      </w:pPr>
      <w:r>
        <w:t>第四部分 名词解释</w:t>
      </w:r>
      <w:r>
        <w:rPr>
          <w:w w:val="200"/>
        </w:rPr>
        <w:t xml:space="preserve"> </w:t>
      </w:r>
    </w:p>
    <w:p>
      <w:pPr>
        <w:pStyle w:val="3"/>
        <w:spacing w:before="5"/>
        <w:rPr>
          <w:rFonts w:ascii="Microsoft JhengHei"/>
          <w:b/>
          <w:sz w:val="3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ind w:left="0" w:right="0" w:firstLine="630"/>
        <w:jc w:val="left"/>
        <w:rPr>
          <w:rFonts w:ascii="微软雅黑" w:hAnsi="微软雅黑" w:eastAsia="微软雅黑" w:cs="微软雅黑"/>
          <w:i w:val="0"/>
          <w:iCs w:val="0"/>
          <w:caps w:val="0"/>
          <w:color w:val="333333"/>
          <w:spacing w:val="0"/>
          <w:sz w:val="26"/>
          <w:szCs w:val="26"/>
        </w:rPr>
      </w:pPr>
      <w:r>
        <w:rPr>
          <w:rFonts w:hint="eastAsia" w:ascii="仿宋" w:hAnsi="仿宋" w:eastAsia="仿宋"/>
          <w:kern w:val="0"/>
          <w:sz w:val="30"/>
          <w:szCs w:val="30"/>
        </w:rPr>
        <w:t xml:space="preserve"> </w:t>
      </w:r>
      <w:r>
        <w:rPr>
          <w:rFonts w:ascii="黑体" w:hAnsi="宋体" w:eastAsia="黑体" w:cs="黑体"/>
          <w:i w:val="0"/>
          <w:iCs w:val="0"/>
          <w:caps w:val="0"/>
          <w:color w:val="333333"/>
          <w:spacing w:val="0"/>
          <w:kern w:val="0"/>
          <w:sz w:val="30"/>
          <w:szCs w:val="30"/>
          <w:shd w:val="clear" w:color="auto" w:fill="FFFFFF"/>
          <w:lang w:val="en-US" w:eastAsia="zh-CN" w:bidi="ar"/>
        </w:rPr>
        <w:t>一、收入科目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0"/>
        <w:jc w:val="left"/>
        <w:rPr>
          <w:rFonts w:hint="eastAsia" w:ascii="微软雅黑" w:hAnsi="微软雅黑" w:eastAsia="微软雅黑" w:cs="微软雅黑"/>
          <w:i w:val="0"/>
          <w:iCs w:val="0"/>
          <w:caps w:val="0"/>
          <w:color w:val="333333"/>
          <w:spacing w:val="0"/>
          <w:sz w:val="26"/>
          <w:szCs w:val="26"/>
        </w:rPr>
      </w:pPr>
      <w:r>
        <w:rPr>
          <w:rFonts w:ascii="仿宋" w:hAnsi="仿宋" w:eastAsia="仿宋" w:cs="仿宋"/>
          <w:i w:val="0"/>
          <w:iCs w:val="0"/>
          <w:caps w:val="0"/>
          <w:color w:val="333333"/>
          <w:spacing w:val="0"/>
          <w:kern w:val="0"/>
          <w:sz w:val="30"/>
          <w:szCs w:val="30"/>
          <w:shd w:val="clear" w:color="auto" w:fill="FFFFFF"/>
          <w:lang w:val="en-US" w:eastAsia="zh-CN" w:bidi="ar"/>
        </w:rPr>
        <w:t>    </w:t>
      </w:r>
      <w:r>
        <w:rPr>
          <w:rFonts w:hint="eastAsia" w:ascii="仿宋" w:hAnsi="仿宋" w:eastAsia="仿宋" w:cs="仿宋"/>
          <w:i w:val="0"/>
          <w:iCs w:val="0"/>
          <w:caps w:val="0"/>
          <w:color w:val="333333"/>
          <w:spacing w:val="0"/>
          <w:kern w:val="0"/>
          <w:sz w:val="30"/>
          <w:szCs w:val="30"/>
          <w:shd w:val="clear" w:color="auto" w:fill="FFFFFF"/>
          <w:lang w:val="en-US" w:eastAsia="zh-CN" w:bidi="ar"/>
        </w:rPr>
        <w:t>（一）财政拨款：指县级财政当年拨付的资金。</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    （二）事业收入：指事业单位开展专业业务活动及辅助活动取得的收入。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    （三）事业单位经营收入：指事业单位在专业业务活动及辅助活动之外开展非独立核算经营活动取得的收入。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    （四）其他收入：指除财政补助拨款、事业收入、事业单位经营收入等以外的各项收入。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60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（五）上年结转和结余：填列2020年全部结转和结余的资金数，包括当年结转结余资金和历年滚存结存结余资金。</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ind w:left="0" w:right="0" w:firstLine="630"/>
        <w:jc w:val="left"/>
        <w:rPr>
          <w:rFonts w:hint="eastAsia" w:ascii="微软雅黑" w:hAnsi="微软雅黑" w:eastAsia="微软雅黑" w:cs="微软雅黑"/>
          <w:i w:val="0"/>
          <w:iCs w:val="0"/>
          <w:caps w:val="0"/>
          <w:color w:val="333333"/>
          <w:spacing w:val="0"/>
          <w:sz w:val="26"/>
          <w:szCs w:val="26"/>
        </w:rPr>
      </w:pPr>
      <w:r>
        <w:rPr>
          <w:rFonts w:hint="eastAsia" w:ascii="黑体" w:hAnsi="宋体" w:eastAsia="黑体" w:cs="黑体"/>
          <w:i w:val="0"/>
          <w:iCs w:val="0"/>
          <w:caps w:val="0"/>
          <w:color w:val="333333"/>
          <w:spacing w:val="0"/>
          <w:kern w:val="0"/>
          <w:sz w:val="30"/>
          <w:szCs w:val="30"/>
          <w:shd w:val="clear" w:color="auto" w:fill="FFFFFF"/>
          <w:lang w:val="en-US" w:eastAsia="zh-CN" w:bidi="ar"/>
        </w:rPr>
        <w:t>二、支出科目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    （一）一般公共服务支出（类）政府办公厅（室）及相关机构事务（款）行政运行（项）：反映行政单位（包括实行公务员管理的事业单位）的基本支出。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60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（二）一般公共服务支出（类）政府办公厅（室）及相关机构事务（款）一般行政管理事务（项）：反映行政单位（包括实行公务员管理的事业单位）未单独设置项级科目的其他项目支出。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60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（三）一般公共服务支出（类）政府办公厅（室）及相关机构事务（款）事业运行（项）：反映事业单位的基本支出，不包括行政单位（包括实行公务员管理的事业单位）后勤服务中心、医疗室等附属事业单位。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60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（四）社会保障和就业支出（类）行政事业单位离退休（款）机关事业单位基本养老保险缴费支出（项）：反映机关事业单位实施养老保险制度由单位缴纳的基本养老保险费支出。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60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五）医疗卫生与计划生育支出（类）行政事业单位医疗（款）行政单位医疗（项）：反映财政部门集中安排的行政单位基本医疗保险缴费经费，未参加医疗保险的行政单位的公费医疗经费，按国家规定享受离休人员、红军老战士待遇人员的医疗经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60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（六）住房保障支出（类）住房改革支出（款）购房补贴（项）：反映按房改政策规定，行政事业向符合条件职工（含离退休人员）、军队（含武警）向转役复员离退休人员发放的用于购买住房的补贴。</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60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（七）节能环保支出（类）能源节约利用（款）能源节约利用（项）：反映用于能源节约利用方面的支出。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225" w:afterAutospacing="0" w:line="600" w:lineRule="atLeast"/>
        <w:ind w:left="0" w:right="0" w:firstLine="0"/>
        <w:jc w:val="left"/>
        <w:rPr>
          <w:rFonts w:hint="eastAsia" w:ascii="微软雅黑" w:hAnsi="微软雅黑" w:eastAsia="微软雅黑" w:cs="微软雅黑"/>
          <w:i w:val="0"/>
          <w:iCs w:val="0"/>
          <w:caps w:val="0"/>
          <w:color w:val="333333"/>
          <w:spacing w:val="0"/>
          <w:sz w:val="26"/>
          <w:szCs w:val="26"/>
        </w:rPr>
      </w:pPr>
      <w:r>
        <w:rPr>
          <w:rFonts w:hint="eastAsia" w:ascii="仿宋" w:hAnsi="仿宋" w:eastAsia="仿宋" w:cs="仿宋"/>
          <w:i w:val="0"/>
          <w:iCs w:val="0"/>
          <w:caps w:val="0"/>
          <w:color w:val="333333"/>
          <w:spacing w:val="0"/>
          <w:kern w:val="0"/>
          <w:sz w:val="30"/>
          <w:szCs w:val="30"/>
          <w:shd w:val="clear" w:color="auto" w:fill="FFFFFF"/>
          <w:lang w:val="en-US" w:eastAsia="zh-CN" w:bidi="ar"/>
        </w:rPr>
        <w:t>    （八）“三公经费”：纳入财政预决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pPr>
        <w:pStyle w:val="3"/>
        <w:spacing w:line="388" w:lineRule="auto"/>
        <w:ind w:left="120" w:right="790" w:firstLine="600"/>
        <w:jc w:val="both"/>
      </w:pPr>
      <w:r>
        <w:rPr>
          <w:rFonts w:hint="eastAsia" w:ascii="仿宋" w:hAnsi="仿宋" w:eastAsia="仿宋" w:cs="仿宋"/>
          <w:i w:val="0"/>
          <w:iCs w:val="0"/>
          <w:caps w:val="0"/>
          <w:color w:val="333333"/>
          <w:spacing w:val="0"/>
          <w:kern w:val="0"/>
          <w:sz w:val="30"/>
          <w:szCs w:val="30"/>
          <w:shd w:val="clear" w:color="auto" w:fill="FFFFFF"/>
          <w:lang w:val="en-US" w:eastAsia="zh-CN" w:bidi="ar"/>
        </w:rPr>
        <w:t>    （九）机关运行经费：为保障行政单位(包括实行公务员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sectPr>
      <w:pgSz w:w="11910" w:h="16840"/>
      <w:pgMar w:top="1580" w:right="840" w:bottom="280" w:left="16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087" w:usb1="28AF4000" w:usb2="00000016" w:usb3="00000000" w:csb0="00100009" w:csb1="00000000"/>
  </w:font>
  <w:font w:name="Consolas">
    <w:panose1 w:val="020B0609020204030204"/>
    <w:charset w:val="00"/>
    <w:family w:val="modern"/>
    <w:pitch w:val="default"/>
    <w:sig w:usb0="E10002FF" w:usb1="4000FCFF" w:usb2="00000009" w:usb3="00000000" w:csb0="600001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hyphenationZone w:val="36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iMTE0YjZmMDVlZWU1NDYzNzNlOWNhNDJjYTI4NzcifQ=="/>
  </w:docVars>
  <w:rsids>
    <w:rsidRoot w:val="00000000"/>
    <w:rsid w:val="01625CD4"/>
    <w:rsid w:val="019A6796"/>
    <w:rsid w:val="11776A7F"/>
    <w:rsid w:val="1A72738B"/>
    <w:rsid w:val="1E650DFA"/>
    <w:rsid w:val="1F86727A"/>
    <w:rsid w:val="2CE61358"/>
    <w:rsid w:val="2D0F4D53"/>
    <w:rsid w:val="337B4EF0"/>
    <w:rsid w:val="34237336"/>
    <w:rsid w:val="373145CB"/>
    <w:rsid w:val="38593326"/>
    <w:rsid w:val="39E676B1"/>
    <w:rsid w:val="3B2E57E8"/>
    <w:rsid w:val="3E0C4BC9"/>
    <w:rsid w:val="3F5834B2"/>
    <w:rsid w:val="3FD80FD4"/>
    <w:rsid w:val="51114346"/>
    <w:rsid w:val="55BA1450"/>
    <w:rsid w:val="561623FF"/>
    <w:rsid w:val="59693A78"/>
    <w:rsid w:val="5B816E1A"/>
    <w:rsid w:val="5DBF6870"/>
    <w:rsid w:val="61153ECF"/>
    <w:rsid w:val="61202383"/>
    <w:rsid w:val="65A45331"/>
    <w:rsid w:val="698E5809"/>
    <w:rsid w:val="6F394D3C"/>
    <w:rsid w:val="76C0074B"/>
    <w:rsid w:val="79934D52"/>
    <w:rsid w:val="7DA0782A"/>
    <w:rsid w:val="7EC46C24"/>
    <w:rsid w:val="7EF24F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en-US" w:eastAsia="zh-CN" w:bidi="ar-SA"/>
    </w:rPr>
  </w:style>
  <w:style w:type="paragraph" w:styleId="2">
    <w:name w:val="heading 1"/>
    <w:basedOn w:val="1"/>
    <w:next w:val="1"/>
    <w:qFormat/>
    <w:uiPriority w:val="1"/>
    <w:pPr>
      <w:jc w:val="center"/>
      <w:outlineLvl w:val="0"/>
    </w:pPr>
    <w:rPr>
      <w:rFonts w:ascii="Microsoft JhengHei" w:hAnsi="Microsoft JhengHei" w:eastAsia="Microsoft JhengHei" w:cs="Microsoft JhengHei"/>
      <w:b/>
      <w:bCs/>
      <w:sz w:val="32"/>
      <w:szCs w:val="32"/>
      <w:lang w:val="en-US" w:eastAsia="zh-CN" w:bidi="ar-SA"/>
    </w:rPr>
  </w:style>
  <w:style w:type="character" w:default="1" w:styleId="6">
    <w:name w:val="Default Paragraph Font"/>
    <w:unhideWhenUsed/>
    <w:qFormat/>
    <w:uiPriority w:val="1"/>
  </w:style>
  <w:style w:type="table" w:default="1" w:styleId="5">
    <w:name w:val="Normal Table"/>
    <w:semiHidden/>
    <w:qFormat/>
    <w:uiPriority w:val="0"/>
    <w:tblPr>
      <w:tblStyle w:val="5"/>
      <w:tblCellMar>
        <w:top w:w="0" w:type="dxa"/>
        <w:left w:w="108" w:type="dxa"/>
        <w:bottom w:w="0" w:type="dxa"/>
        <w:right w:w="108" w:type="dxa"/>
      </w:tblCellMar>
    </w:tblPr>
  </w:style>
  <w:style w:type="paragraph" w:styleId="3">
    <w:name w:val="Body Text"/>
    <w:basedOn w:val="1"/>
    <w:qFormat/>
    <w:uiPriority w:val="1"/>
    <w:rPr>
      <w:rFonts w:ascii="仿宋" w:hAnsi="仿宋" w:eastAsia="仿宋" w:cs="仿宋"/>
      <w:sz w:val="30"/>
      <w:szCs w:val="30"/>
      <w:lang w:val="en-US" w:eastAsia="zh-CN" w:bidi="ar-SA"/>
    </w:rPr>
  </w:style>
  <w:style w:type="paragraph" w:styleId="4">
    <w:name w:val="Title"/>
    <w:basedOn w:val="1"/>
    <w:qFormat/>
    <w:uiPriority w:val="1"/>
    <w:pPr>
      <w:spacing w:before="39"/>
      <w:ind w:left="863"/>
    </w:pPr>
    <w:rPr>
      <w:rFonts w:ascii="黑体" w:hAnsi="黑体" w:eastAsia="黑体" w:cs="黑体"/>
      <w:sz w:val="44"/>
      <w:szCs w:val="44"/>
      <w:lang w:val="en-US" w:eastAsia="zh-CN" w:bidi="ar-SA"/>
    </w:rPr>
  </w:style>
  <w:style w:type="table" w:customStyle="1" w:styleId="7">
    <w:name w:val="Table Normal"/>
    <w:unhideWhenUsed/>
    <w:qFormat/>
    <w:uiPriority w:val="2"/>
    <w:tblPr>
      <w:tblStyle w:val="5"/>
      <w:tblCellMar>
        <w:top w:w="0" w:type="dxa"/>
        <w:left w:w="0" w:type="dxa"/>
        <w:bottom w:w="0" w:type="dxa"/>
        <w:right w:w="0" w:type="dxa"/>
      </w:tblCellMar>
    </w:tblPr>
  </w:style>
  <w:style w:type="paragraph" w:styleId="8">
    <w:name w:val="List Paragraph"/>
    <w:basedOn w:val="1"/>
    <w:qFormat/>
    <w:uiPriority w:val="1"/>
    <w:rPr>
      <w:lang w:val="en-US" w:eastAsia="zh-CN" w:bidi="ar-SA"/>
    </w:rPr>
  </w:style>
  <w:style w:type="paragraph" w:customStyle="1" w:styleId="9">
    <w:name w:val="Table Paragraph"/>
    <w:basedOn w:val="1"/>
    <w:qFormat/>
    <w:uiPriority w:val="1"/>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3701</Words>
  <Characters>4132</Characters>
  <TotalTime>1</TotalTime>
  <ScaleCrop>false</ScaleCrop>
  <LinksUpToDate>false</LinksUpToDate>
  <CharactersWithSpaces>4381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2022-04-11T08:25:00Z</dcterms:created>
  <dc:creator>Administrator</dc:creator>
  <cp:lastModifiedBy>A0曾老师</cp:lastModifiedBy>
  <dcterms:modified xsi:type="dcterms:W3CDTF">2022-09-26T03:40:41Z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Xpdf - https://xpdf.net</vt:lpwstr>
  </property>
  <property fmtid="{D5CDD505-2E9C-101B-9397-08002B2CF9AE}" pid="3" name="KSOProductBuildVer">
    <vt:lpwstr>2052-11.1.0.12358</vt:lpwstr>
  </property>
  <property fmtid="{D5CDD505-2E9C-101B-9397-08002B2CF9AE}" pid="4" name="ICV">
    <vt:lpwstr>4A18473C43824D65BDC5B74B928C98CC</vt:lpwstr>
  </property>
</Properties>
</file>