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9"/>
        <w:gridCol w:w="274"/>
        <w:gridCol w:w="287"/>
        <w:gridCol w:w="282"/>
        <w:gridCol w:w="343"/>
        <w:gridCol w:w="1114"/>
        <w:gridCol w:w="990"/>
        <w:gridCol w:w="677"/>
        <w:gridCol w:w="739"/>
        <w:gridCol w:w="1344"/>
        <w:gridCol w:w="277"/>
        <w:gridCol w:w="337"/>
        <w:gridCol w:w="277"/>
        <w:gridCol w:w="337"/>
        <w:gridCol w:w="287"/>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5000" w:type="pct"/>
            <w:gridSpan w:val="1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54"/>
                <w:szCs w:val="54"/>
                <w:u w:val="none"/>
              </w:rPr>
            </w:pPr>
            <w:bookmarkStart w:id="0" w:name="_GoBack"/>
            <w:r>
              <w:rPr>
                <w:rFonts w:hint="eastAsia" w:ascii="宋体" w:hAnsi="宋体" w:eastAsia="宋体" w:cs="宋体"/>
                <w:i w:val="0"/>
                <w:color w:val="auto"/>
                <w:kern w:val="0"/>
                <w:sz w:val="54"/>
                <w:szCs w:val="54"/>
                <w:u w:val="none"/>
                <w:bdr w:val="none" w:color="auto" w:sz="0" w:space="0"/>
                <w:lang w:val="en-US" w:eastAsia="zh-CN" w:bidi="ar"/>
              </w:rPr>
              <w:t>寻乌县交通运输领域基层政务公开标准目录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62"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序号</w:t>
            </w:r>
          </w:p>
        </w:tc>
        <w:tc>
          <w:tcPr>
            <w:tcW w:w="165"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FF0000"/>
                <w:sz w:val="23"/>
                <w:szCs w:val="23"/>
                <w:u w:val="none"/>
              </w:rPr>
            </w:pPr>
            <w:r>
              <w:rPr>
                <w:rFonts w:hint="default" w:ascii="Arial" w:hAnsi="Arial" w:eastAsia="宋体" w:cs="Arial"/>
                <w:b/>
                <w:i w:val="0"/>
                <w:color w:val="FF0000"/>
                <w:kern w:val="0"/>
                <w:sz w:val="23"/>
                <w:szCs w:val="23"/>
                <w:u w:val="none"/>
                <w:bdr w:val="none" w:color="auto" w:sz="0" w:space="0"/>
                <w:lang w:val="en-US" w:eastAsia="zh-CN" w:bidi="ar"/>
              </w:rPr>
              <w:t>一级目录</w:t>
            </w:r>
          </w:p>
        </w:tc>
        <w:tc>
          <w:tcPr>
            <w:tcW w:w="548" w:type="pct"/>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公开事项</w:t>
            </w:r>
          </w:p>
        </w:tc>
        <w:tc>
          <w:tcPr>
            <w:tcW w:w="668"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3"/>
                <w:szCs w:val="23"/>
                <w:u w:val="none"/>
              </w:rPr>
            </w:pPr>
            <w:r>
              <w:rPr>
                <w:rFonts w:hint="default" w:ascii="Arial" w:hAnsi="Arial" w:eastAsia="宋体" w:cs="Arial"/>
                <w:b/>
                <w:i w:val="0"/>
                <w:color w:val="000000"/>
                <w:kern w:val="0"/>
                <w:sz w:val="23"/>
                <w:szCs w:val="23"/>
                <w:u w:val="none"/>
                <w:bdr w:val="none" w:color="auto" w:sz="0" w:space="0"/>
                <w:lang w:val="en-US" w:eastAsia="zh-CN" w:bidi="ar"/>
              </w:rPr>
              <w:t>公开内容</w:t>
            </w:r>
          </w:p>
        </w:tc>
        <w:tc>
          <w:tcPr>
            <w:tcW w:w="593"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公开依据</w:t>
            </w:r>
          </w:p>
        </w:tc>
        <w:tc>
          <w:tcPr>
            <w:tcW w:w="406"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公开时限</w:t>
            </w:r>
          </w:p>
        </w:tc>
        <w:tc>
          <w:tcPr>
            <w:tcW w:w="443"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公开主体</w:t>
            </w:r>
          </w:p>
        </w:tc>
        <w:tc>
          <w:tcPr>
            <w:tcW w:w="806" w:type="pct"/>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3"/>
                <w:szCs w:val="23"/>
                <w:u w:val="none"/>
              </w:rPr>
            </w:pPr>
            <w:r>
              <w:rPr>
                <w:rFonts w:hint="default" w:ascii="Arial" w:hAnsi="Arial" w:eastAsia="宋体" w:cs="Arial"/>
                <w:b/>
                <w:i w:val="0"/>
                <w:color w:val="000000"/>
                <w:kern w:val="0"/>
                <w:sz w:val="23"/>
                <w:szCs w:val="23"/>
                <w:u w:val="none"/>
                <w:bdr w:val="none" w:color="auto" w:sz="0" w:space="0"/>
                <w:lang w:val="en-US" w:eastAsia="zh-CN" w:bidi="ar"/>
              </w:rPr>
              <w:t>公开渠道和载体</w:t>
            </w:r>
          </w:p>
        </w:tc>
        <w:tc>
          <w:tcPr>
            <w:tcW w:w="368" w:type="pct"/>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公开对象</w:t>
            </w:r>
          </w:p>
        </w:tc>
        <w:tc>
          <w:tcPr>
            <w:tcW w:w="368" w:type="pct"/>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公开方式</w:t>
            </w:r>
          </w:p>
        </w:tc>
        <w:tc>
          <w:tcPr>
            <w:tcW w:w="467" w:type="pct"/>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62"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333333"/>
                <w:sz w:val="23"/>
                <w:szCs w:val="23"/>
                <w:u w:val="none"/>
              </w:rPr>
            </w:pPr>
          </w:p>
        </w:tc>
        <w:tc>
          <w:tcPr>
            <w:tcW w:w="165"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FF0000"/>
                <w:sz w:val="23"/>
                <w:szCs w:val="23"/>
                <w:u w:val="none"/>
              </w:rPr>
            </w:pPr>
          </w:p>
        </w:tc>
        <w:tc>
          <w:tcPr>
            <w:tcW w:w="173"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一级事项</w:t>
            </w:r>
          </w:p>
        </w:tc>
        <w:tc>
          <w:tcPr>
            <w:tcW w:w="169"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二级事项</w:t>
            </w:r>
          </w:p>
        </w:tc>
        <w:tc>
          <w:tcPr>
            <w:tcW w:w="205"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三级事项</w:t>
            </w:r>
          </w:p>
        </w:tc>
        <w:tc>
          <w:tcPr>
            <w:tcW w:w="668" w:type="pct"/>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3"/>
                <w:szCs w:val="23"/>
                <w:u w:val="none"/>
              </w:rPr>
            </w:pPr>
            <w:r>
              <w:rPr>
                <w:rFonts w:hint="default" w:ascii="Arial" w:hAnsi="Arial" w:eastAsia="宋体" w:cs="Arial"/>
                <w:b/>
                <w:i w:val="0"/>
                <w:color w:val="000000"/>
                <w:kern w:val="0"/>
                <w:sz w:val="23"/>
                <w:szCs w:val="23"/>
                <w:u w:val="none"/>
                <w:bdr w:val="none" w:color="auto" w:sz="0" w:space="0"/>
                <w:lang w:val="en-US" w:eastAsia="zh-CN" w:bidi="ar"/>
              </w:rPr>
              <w:t>（要素）</w:t>
            </w:r>
          </w:p>
        </w:tc>
        <w:tc>
          <w:tcPr>
            <w:tcW w:w="593"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333333"/>
                <w:sz w:val="23"/>
                <w:szCs w:val="23"/>
                <w:u w:val="none"/>
              </w:rPr>
            </w:pPr>
          </w:p>
        </w:tc>
        <w:tc>
          <w:tcPr>
            <w:tcW w:w="406"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333333"/>
                <w:sz w:val="23"/>
                <w:szCs w:val="23"/>
                <w:u w:val="none"/>
              </w:rPr>
            </w:pPr>
          </w:p>
        </w:tc>
        <w:tc>
          <w:tcPr>
            <w:tcW w:w="443"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333333"/>
                <w:sz w:val="23"/>
                <w:szCs w:val="23"/>
                <w:u w:val="none"/>
              </w:rPr>
            </w:pPr>
          </w:p>
        </w:tc>
        <w:tc>
          <w:tcPr>
            <w:tcW w:w="806" w:type="pct"/>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default" w:ascii="Arial" w:hAnsi="Arial" w:cs="Arial"/>
                <w:b/>
                <w:i w:val="0"/>
                <w:color w:val="000000"/>
                <w:sz w:val="23"/>
                <w:szCs w:val="23"/>
                <w:u w:val="none"/>
              </w:rPr>
            </w:pPr>
          </w:p>
        </w:tc>
        <w:tc>
          <w:tcPr>
            <w:tcW w:w="166"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全社会</w:t>
            </w:r>
          </w:p>
        </w:tc>
        <w:tc>
          <w:tcPr>
            <w:tcW w:w="202"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特定群体</w:t>
            </w:r>
          </w:p>
        </w:tc>
        <w:tc>
          <w:tcPr>
            <w:tcW w:w="166"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主动</w:t>
            </w:r>
          </w:p>
        </w:tc>
        <w:tc>
          <w:tcPr>
            <w:tcW w:w="202"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依申请</w:t>
            </w:r>
          </w:p>
        </w:tc>
        <w:tc>
          <w:tcPr>
            <w:tcW w:w="172"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县级</w:t>
            </w:r>
          </w:p>
        </w:tc>
        <w:tc>
          <w:tcPr>
            <w:tcW w:w="295" w:type="pc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333333"/>
                <w:sz w:val="23"/>
                <w:szCs w:val="23"/>
                <w:u w:val="none"/>
              </w:rPr>
            </w:pPr>
            <w:r>
              <w:rPr>
                <w:rFonts w:hint="default" w:ascii="Arial" w:hAnsi="Arial" w:eastAsia="宋体" w:cs="Arial"/>
                <w:b/>
                <w:i w:val="0"/>
                <w:color w:val="333333"/>
                <w:kern w:val="0"/>
                <w:sz w:val="23"/>
                <w:szCs w:val="23"/>
                <w:u w:val="none"/>
                <w:bdr w:val="none" w:color="auto" w:sz="0" w:space="0"/>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0" w:hRule="atLeast"/>
        </w:trPr>
        <w:tc>
          <w:tcPr>
            <w:tcW w:w="16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65" w:type="pct"/>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交通运输</w:t>
            </w:r>
          </w:p>
        </w:tc>
        <w:tc>
          <w:tcPr>
            <w:tcW w:w="173" w:type="pct"/>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交通运输</w:t>
            </w:r>
          </w:p>
        </w:tc>
        <w:tc>
          <w:tcPr>
            <w:tcW w:w="169"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bdr w:val="none" w:color="auto" w:sz="0" w:space="0"/>
                <w:lang w:val="en-US" w:eastAsia="zh-CN" w:bidi="ar"/>
              </w:rPr>
              <w:t>公路水运工程基础设施</w:t>
            </w:r>
          </w:p>
        </w:tc>
        <w:tc>
          <w:tcPr>
            <w:tcW w:w="20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8"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1.农村公路建设计划和补助政策信息</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2.农村公路项目和水运建设项目设计文件审批、竣工验收等行政许可事项的办事指南和办理结果</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3.农村公路质量安全监管和养护管理信息</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4.公路交通阻断信息</w:t>
            </w:r>
          </w:p>
        </w:tc>
        <w:tc>
          <w:tcPr>
            <w:tcW w:w="59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《交通运输领域基层政务公开标准指引》（交办办（2021）75号）</w:t>
            </w:r>
          </w:p>
        </w:tc>
        <w:tc>
          <w:tcPr>
            <w:tcW w:w="4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自该政府信息形成或者变更之日起20个工作日内及时公开</w:t>
            </w:r>
          </w:p>
        </w:tc>
        <w:tc>
          <w:tcPr>
            <w:tcW w:w="44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县交通运输局</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县行政审批局</w:t>
            </w:r>
          </w:p>
        </w:tc>
        <w:tc>
          <w:tcPr>
            <w:tcW w:w="8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政府网站 ■ 政府公报</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两微一端 □ 发布会/听证会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广播电视 □ 纸质媒体</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公开查询点 ■ 政务服务中心</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便民服务站 □ 入户/现场</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交通运输场站</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精准推送 □ 其他</w:t>
            </w: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9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0" w:hRule="atLeast"/>
        </w:trPr>
        <w:tc>
          <w:tcPr>
            <w:tcW w:w="16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65" w:type="pct"/>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 w:type="pct"/>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bdr w:val="none" w:color="auto" w:sz="0" w:space="0"/>
                <w:lang w:val="en-US" w:eastAsia="zh-CN" w:bidi="ar"/>
              </w:rPr>
              <w:t>道路运输</w:t>
            </w:r>
          </w:p>
        </w:tc>
        <w:tc>
          <w:tcPr>
            <w:tcW w:w="20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8"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1.道路旅客运输、道路旅客运输站、道路货物运输经营许可和出租汽车车辆运营证核发、驾驶员客运资格证核发、经营资格证核发等行政许可事项的办事指南和办理结果</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2.道路客运班线起讫地客运站点及途经线路备案等备案事项的办事指南</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3.城市公共交通服务质量评价信息、出租汽车服务质量信誉考核信息</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4.道路运输监督检查结果信息</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5.城市公共交通和道路客运相关服务信息</w:t>
            </w:r>
          </w:p>
        </w:tc>
        <w:tc>
          <w:tcPr>
            <w:tcW w:w="59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《交通运输领域基层政务公开标准指引》（交办办（2021）75号）</w:t>
            </w:r>
          </w:p>
        </w:tc>
        <w:tc>
          <w:tcPr>
            <w:tcW w:w="4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自该政府信息形成或者变更之日起20个工作日内及时公开</w:t>
            </w:r>
          </w:p>
        </w:tc>
        <w:tc>
          <w:tcPr>
            <w:tcW w:w="44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县交通运输局</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县行政审批局</w:t>
            </w:r>
          </w:p>
        </w:tc>
        <w:tc>
          <w:tcPr>
            <w:tcW w:w="8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政府网站 ■ 政府公报</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两微一端 □ 发布会/听证会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广播电视 □ 纸质媒体</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公开查询点 ■ 政务服务中心</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便民服务站 □ 入户/现场</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交通运输场站</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精准推送 □ 其他</w:t>
            </w: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9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0" w:hRule="atLeast"/>
        </w:trPr>
        <w:tc>
          <w:tcPr>
            <w:tcW w:w="16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
              </w:rPr>
            </w:pPr>
            <w:r>
              <w:rPr>
                <w:rFonts w:hint="default" w:ascii="宋体" w:hAnsi="宋体" w:cs="宋体"/>
                <w:i w:val="0"/>
                <w:color w:val="000000"/>
                <w:kern w:val="0"/>
                <w:sz w:val="24"/>
                <w:szCs w:val="24"/>
                <w:u w:val="none"/>
                <w:bdr w:val="none" w:color="auto" w:sz="0" w:space="0"/>
                <w:lang w:val="en" w:eastAsia="zh-CN" w:bidi="ar"/>
              </w:rPr>
              <w:t>3</w:t>
            </w:r>
          </w:p>
        </w:tc>
        <w:tc>
          <w:tcPr>
            <w:tcW w:w="165" w:type="pct"/>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 w:type="pct"/>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综合交通运输及多式联运</w:t>
            </w:r>
          </w:p>
        </w:tc>
        <w:tc>
          <w:tcPr>
            <w:tcW w:w="20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8"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根据职责公开综合交通运输及多式联运管理服务有关信息</w:t>
            </w:r>
          </w:p>
        </w:tc>
        <w:tc>
          <w:tcPr>
            <w:tcW w:w="59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《交通运输领域基层政务公开标准指引》（交办办（2021）75号）</w:t>
            </w:r>
          </w:p>
        </w:tc>
        <w:tc>
          <w:tcPr>
            <w:tcW w:w="4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自该政府信息形成或者变更之日起20个工作日内及时公开</w:t>
            </w:r>
          </w:p>
        </w:tc>
        <w:tc>
          <w:tcPr>
            <w:tcW w:w="443"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县交通运输局</w:t>
            </w:r>
          </w:p>
        </w:tc>
        <w:tc>
          <w:tcPr>
            <w:tcW w:w="806" w:type="pc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政府网站 ■ 政府公报</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两微一端 □ 发布会/听证会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广播电视 □ 纸质媒体</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公开查询点 ■ 政务服务中心</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便民服务站 □ 入户/现场</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交通运输场站</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精准推送 □ 其他</w:t>
            </w: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0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295" w:type="pct"/>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E9A3C"/>
    <w:rsid w:val="3EAB0813"/>
    <w:rsid w:val="77F63159"/>
    <w:rsid w:val="7CDF259C"/>
    <w:rsid w:val="EFAF3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2023-07-19T15:57:17Z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