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Style w:val="6"/>
          <w:color w:val="000000"/>
          <w:sz w:val="32"/>
          <w:szCs w:val="32"/>
          <w:shd w:val="clear" w:color="auto" w:fill="FFFFFF"/>
        </w:rPr>
      </w:pPr>
      <w:r>
        <w:rPr>
          <w:rStyle w:val="6"/>
          <w:rFonts w:hint="eastAsia"/>
          <w:color w:val="000000"/>
          <w:sz w:val="32"/>
          <w:szCs w:val="32"/>
          <w:shd w:val="clear" w:color="auto" w:fill="FFFFFF"/>
        </w:rPr>
        <w:t>《</w:t>
      </w:r>
      <w:r>
        <w:rPr>
          <w:rStyle w:val="6"/>
          <w:rFonts w:hint="eastAsia" w:asciiTheme="minorHAnsi" w:hAnsiTheme="minorHAnsi" w:eastAsiaTheme="minorEastAsia"/>
          <w:color w:val="000000"/>
          <w:sz w:val="32"/>
          <w:szCs w:val="32"/>
          <w:shd w:val="clear" w:color="auto" w:fill="FFFFFF"/>
        </w:rPr>
        <w:t>寻乌县绿地系统防灾避险规划</w:t>
      </w:r>
      <w:r>
        <w:rPr>
          <w:rStyle w:val="6"/>
          <w:rFonts w:hint="eastAsia"/>
          <w:color w:val="000000"/>
          <w:sz w:val="32"/>
          <w:szCs w:val="32"/>
          <w:shd w:val="clear" w:color="auto" w:fill="FFFFFF"/>
        </w:rPr>
        <w:t>（</w:t>
      </w:r>
      <w:r>
        <w:rPr>
          <w:rStyle w:val="6"/>
          <w:color w:val="000000"/>
          <w:sz w:val="32"/>
          <w:szCs w:val="32"/>
          <w:shd w:val="clear" w:color="auto" w:fill="FFFFFF"/>
        </w:rPr>
        <w:t>20</w:t>
      </w:r>
      <w:r>
        <w:rPr>
          <w:rStyle w:val="6"/>
          <w:rFonts w:hint="eastAsia"/>
          <w:color w:val="000000"/>
          <w:sz w:val="32"/>
          <w:szCs w:val="32"/>
          <w:shd w:val="clear" w:color="auto" w:fill="FFFFFF"/>
          <w:lang w:val="en-US" w:eastAsia="zh-CN"/>
        </w:rPr>
        <w:t>21</w:t>
      </w:r>
      <w:r>
        <w:rPr>
          <w:rStyle w:val="6"/>
          <w:color w:val="000000"/>
          <w:sz w:val="32"/>
          <w:szCs w:val="32"/>
          <w:shd w:val="clear" w:color="auto" w:fill="FFFFFF"/>
        </w:rPr>
        <w:t>—203</w:t>
      </w:r>
      <w:r>
        <w:rPr>
          <w:rStyle w:val="6"/>
          <w:rFonts w:hint="eastAsia"/>
          <w:color w:val="000000"/>
          <w:sz w:val="32"/>
          <w:szCs w:val="32"/>
          <w:shd w:val="clear" w:color="auto" w:fill="FFFFFF"/>
          <w:lang w:val="en-US" w:eastAsia="zh-CN"/>
        </w:rPr>
        <w:t>5</w:t>
      </w:r>
      <w:r>
        <w:rPr>
          <w:rStyle w:val="6"/>
          <w:rFonts w:hint="eastAsia"/>
          <w:color w:val="000000"/>
          <w:sz w:val="32"/>
          <w:szCs w:val="32"/>
          <w:shd w:val="clear" w:color="auto" w:fill="FFFFFF"/>
        </w:rPr>
        <w:t>）》公示</w:t>
      </w:r>
    </w:p>
    <w:p>
      <w:pPr>
        <w:jc w:val="center"/>
        <w:rPr>
          <w:rStyle w:val="6"/>
          <w:color w:val="000000"/>
          <w:sz w:val="32"/>
          <w:szCs w:val="32"/>
          <w:shd w:val="clear" w:color="auto" w:fill="FFFFFF"/>
        </w:rPr>
      </w:pPr>
    </w:p>
    <w:p>
      <w:pPr>
        <w:spacing w:line="360" w:lineRule="auto"/>
        <w:ind w:firstLine="480" w:firstLineChars="200"/>
        <w:rPr>
          <w:rFonts w:hint="eastAsia" w:ascii="仿宋_GB2312" w:hAnsi="宋体" w:eastAsia="仿宋_GB2312"/>
          <w:color w:val="333333"/>
          <w:sz w:val="24"/>
          <w:szCs w:val="24"/>
          <w:shd w:val="clear" w:color="auto" w:fill="FFFFFF"/>
        </w:rPr>
      </w:pPr>
      <w:r>
        <w:rPr>
          <w:rFonts w:hint="eastAsia" w:ascii="仿宋_GB2312" w:hAnsi="宋体" w:eastAsia="仿宋_GB2312"/>
          <w:color w:val="333333"/>
          <w:sz w:val="24"/>
          <w:szCs w:val="24"/>
          <w:shd w:val="clear" w:color="auto" w:fill="FFFFFF"/>
        </w:rPr>
        <w:t>为了完善寻乌县城市</w:t>
      </w:r>
      <w:r>
        <w:rPr>
          <w:rFonts w:hint="eastAsia" w:ascii="仿宋_GB2312" w:hAnsi="宋体" w:eastAsia="仿宋_GB2312"/>
          <w:color w:val="333333"/>
          <w:sz w:val="24"/>
          <w:szCs w:val="24"/>
          <w:shd w:val="clear" w:color="auto" w:fill="FFFFFF"/>
          <w:lang w:val="en-US" w:eastAsia="zh-CN"/>
        </w:rPr>
        <w:t>防灾避险功能</w:t>
      </w:r>
      <w:r>
        <w:rPr>
          <w:rFonts w:hint="eastAsia" w:ascii="仿宋_GB2312" w:hAnsi="宋体" w:eastAsia="仿宋_GB2312"/>
          <w:color w:val="333333"/>
          <w:sz w:val="24"/>
          <w:szCs w:val="24"/>
          <w:shd w:val="clear" w:color="auto" w:fill="FFFFFF"/>
        </w:rPr>
        <w:t>，保障城市安全的需要</w:t>
      </w:r>
      <w:r>
        <w:rPr>
          <w:rFonts w:hint="eastAsia" w:ascii="仿宋_GB2312" w:hAnsi="宋体" w:eastAsia="仿宋_GB2312"/>
          <w:color w:val="333333"/>
          <w:sz w:val="24"/>
          <w:szCs w:val="24"/>
          <w:shd w:val="clear" w:color="auto" w:fill="FFFFFF"/>
          <w:lang w:eastAsia="zh-CN"/>
        </w:rPr>
        <w:t>，</w:t>
      </w:r>
      <w:r>
        <w:rPr>
          <w:rFonts w:hint="eastAsia" w:ascii="仿宋_GB2312" w:hAnsi="宋体" w:eastAsia="仿宋_GB2312"/>
          <w:color w:val="333333"/>
          <w:sz w:val="24"/>
          <w:szCs w:val="24"/>
          <w:shd w:val="clear" w:color="auto" w:fill="FFFFFF"/>
        </w:rPr>
        <w:t>加强城市绿地系统建设，提高城市防灾减灾应急能力和保证人民群众的生命财产安全，适应寻乌县社会经济发展及城镇规划管理目标，特编制《寻乌县绿地系统防灾避险规划（20</w:t>
      </w:r>
      <w:r>
        <w:rPr>
          <w:rFonts w:hint="eastAsia" w:ascii="仿宋_GB2312" w:hAnsi="宋体" w:eastAsia="仿宋_GB2312"/>
          <w:color w:val="333333"/>
          <w:sz w:val="24"/>
          <w:szCs w:val="24"/>
          <w:shd w:val="clear" w:color="auto" w:fill="FFFFFF"/>
          <w:lang w:val="en-US" w:eastAsia="zh-CN"/>
        </w:rPr>
        <w:t>21</w:t>
      </w:r>
      <w:r>
        <w:rPr>
          <w:rFonts w:hint="eastAsia" w:ascii="仿宋_GB2312" w:hAnsi="宋体" w:eastAsia="仿宋_GB2312"/>
          <w:color w:val="333333"/>
          <w:sz w:val="24"/>
          <w:szCs w:val="24"/>
          <w:shd w:val="clear" w:color="auto" w:fill="FFFFFF"/>
        </w:rPr>
        <w:t>—203</w:t>
      </w:r>
      <w:r>
        <w:rPr>
          <w:rFonts w:hint="eastAsia" w:ascii="仿宋_GB2312" w:hAnsi="宋体" w:eastAsia="仿宋_GB2312"/>
          <w:color w:val="333333"/>
          <w:sz w:val="24"/>
          <w:szCs w:val="24"/>
          <w:shd w:val="clear" w:color="auto" w:fill="FFFFFF"/>
          <w:lang w:val="en-US" w:eastAsia="zh-CN"/>
        </w:rPr>
        <w:t>5</w:t>
      </w:r>
      <w:r>
        <w:rPr>
          <w:rFonts w:hint="eastAsia" w:ascii="仿宋_GB2312" w:hAnsi="宋体" w:eastAsia="仿宋_GB2312"/>
          <w:color w:val="333333"/>
          <w:sz w:val="24"/>
          <w:szCs w:val="24"/>
          <w:shd w:val="clear" w:color="auto" w:fill="FFFFFF"/>
        </w:rPr>
        <w:t>）》。</w:t>
      </w:r>
    </w:p>
    <w:p>
      <w:pPr>
        <w:numPr>
          <w:ilvl w:val="0"/>
          <w:numId w:val="1"/>
        </w:numPr>
        <w:spacing w:line="360" w:lineRule="auto"/>
        <w:rPr>
          <w:rStyle w:val="6"/>
          <w:rFonts w:ascii="仿宋_GB2312" w:eastAsia="仿宋_GB2312"/>
          <w:color w:val="333333"/>
          <w:sz w:val="24"/>
          <w:szCs w:val="24"/>
          <w:shd w:val="clear" w:color="auto" w:fill="F3F3F3"/>
        </w:rPr>
      </w:pPr>
      <w:r>
        <w:rPr>
          <w:rStyle w:val="6"/>
          <w:rFonts w:hint="eastAsia" w:ascii="仿宋_GB2312" w:eastAsia="仿宋_GB2312"/>
          <w:color w:val="333333"/>
          <w:sz w:val="24"/>
          <w:szCs w:val="24"/>
          <w:shd w:val="clear" w:color="auto" w:fill="F3F3F3"/>
        </w:rPr>
        <w:t>规划范围</w:t>
      </w:r>
    </w:p>
    <w:p>
      <w:pPr>
        <w:spacing w:line="360" w:lineRule="auto"/>
        <w:ind w:firstLine="480" w:firstLineChars="200"/>
        <w:rPr>
          <w:rFonts w:ascii="仿宋_GB2312" w:eastAsia="仿宋_GB2312"/>
          <w:color w:val="auto"/>
          <w:sz w:val="24"/>
          <w:szCs w:val="24"/>
          <w:shd w:val="clear" w:color="auto" w:fill="FFFFFF"/>
        </w:rPr>
      </w:pPr>
      <w:r>
        <w:rPr>
          <w:rFonts w:hint="eastAsia" w:ascii="仿宋_GB2312" w:hAnsi="宋体" w:eastAsia="仿宋_GB2312"/>
          <w:color w:val="auto"/>
          <w:sz w:val="24"/>
          <w:szCs w:val="24"/>
          <w:shd w:val="clear" w:color="auto" w:fill="FFFFFF"/>
        </w:rPr>
        <w:t>寻乌县城中心城区范围，按照《寻乌县城市总体规划（</w:t>
      </w:r>
      <w:r>
        <w:rPr>
          <w:rFonts w:ascii="仿宋_GB2312" w:hAnsi="宋体" w:eastAsia="仿宋_GB2312"/>
          <w:color w:val="auto"/>
          <w:sz w:val="24"/>
          <w:szCs w:val="24"/>
          <w:shd w:val="clear" w:color="auto" w:fill="FFFFFF"/>
        </w:rPr>
        <w:t>2014-2030</w:t>
      </w:r>
      <w:r>
        <w:rPr>
          <w:rFonts w:hint="eastAsia" w:ascii="仿宋_GB2312" w:hAnsi="宋体" w:eastAsia="仿宋_GB2312"/>
          <w:color w:val="auto"/>
          <w:sz w:val="24"/>
          <w:szCs w:val="24"/>
          <w:shd w:val="clear" w:color="auto" w:fill="FFFFFF"/>
        </w:rPr>
        <w:t>）》，规划区总面积约为</w:t>
      </w:r>
      <w:r>
        <w:rPr>
          <w:rFonts w:ascii="仿宋_GB2312" w:hAnsi="宋体" w:eastAsia="仿宋_GB2312"/>
          <w:color w:val="auto"/>
          <w:sz w:val="24"/>
          <w:szCs w:val="24"/>
          <w:shd w:val="clear" w:color="auto" w:fill="FFFFFF"/>
        </w:rPr>
        <w:t>78.5</w:t>
      </w:r>
      <w:r>
        <w:rPr>
          <w:rFonts w:hint="eastAsia" w:ascii="仿宋_GB2312" w:hAnsi="宋体" w:eastAsia="仿宋_GB2312"/>
          <w:color w:val="auto"/>
          <w:sz w:val="24"/>
          <w:szCs w:val="24"/>
          <w:shd w:val="clear" w:color="auto" w:fill="FFFFFF"/>
        </w:rPr>
        <w:t>平方公里，中心城区建设用地面积为</w:t>
      </w:r>
      <w:r>
        <w:rPr>
          <w:rFonts w:ascii="仿宋_GB2312" w:hAnsi="宋体" w:eastAsia="仿宋_GB2312"/>
          <w:color w:val="auto"/>
          <w:sz w:val="24"/>
          <w:szCs w:val="24"/>
          <w:shd w:val="clear" w:color="auto" w:fill="FFFFFF"/>
        </w:rPr>
        <w:t>15</w:t>
      </w:r>
      <w:r>
        <w:rPr>
          <w:rFonts w:hint="eastAsia" w:ascii="仿宋_GB2312" w:hAnsi="宋体" w:eastAsia="仿宋_GB2312"/>
          <w:color w:val="auto"/>
          <w:sz w:val="24"/>
          <w:szCs w:val="24"/>
          <w:shd w:val="clear" w:color="auto" w:fill="FFFFFF"/>
        </w:rPr>
        <w:t>平方公里。</w:t>
      </w:r>
    </w:p>
    <w:p>
      <w:pPr>
        <w:numPr>
          <w:ilvl w:val="0"/>
          <w:numId w:val="1"/>
        </w:numPr>
        <w:spacing w:line="360" w:lineRule="auto"/>
        <w:rPr>
          <w:rStyle w:val="6"/>
          <w:rFonts w:ascii="仿宋_GB2312" w:eastAsia="仿宋_GB2312"/>
          <w:color w:val="333333"/>
          <w:sz w:val="24"/>
          <w:szCs w:val="24"/>
          <w:shd w:val="clear" w:color="auto" w:fill="F3F3F3"/>
        </w:rPr>
      </w:pPr>
      <w:r>
        <w:rPr>
          <w:rStyle w:val="6"/>
          <w:rFonts w:hint="eastAsia" w:ascii="仿宋_GB2312" w:eastAsia="仿宋_GB2312"/>
          <w:color w:val="333333"/>
          <w:sz w:val="24"/>
          <w:szCs w:val="24"/>
          <w:shd w:val="clear" w:color="auto" w:fill="F3F3F3"/>
        </w:rPr>
        <w:t>规划期限</w:t>
      </w:r>
    </w:p>
    <w:p>
      <w:pPr>
        <w:spacing w:line="360" w:lineRule="auto"/>
        <w:ind w:firstLine="480" w:firstLineChars="200"/>
        <w:rPr>
          <w:rFonts w:ascii="仿宋_GB2312" w:eastAsia="仿宋_GB2312"/>
          <w:color w:val="333333"/>
          <w:sz w:val="24"/>
          <w:szCs w:val="24"/>
          <w:shd w:val="clear" w:color="auto" w:fill="FFFFFF"/>
        </w:rPr>
      </w:pPr>
      <w:r>
        <w:rPr>
          <w:rFonts w:hint="eastAsia" w:ascii="仿宋_GB2312" w:hAnsi="宋体" w:eastAsia="仿宋_GB2312"/>
          <w:color w:val="333333"/>
          <w:sz w:val="24"/>
          <w:szCs w:val="24"/>
          <w:shd w:val="clear" w:color="auto" w:fill="FFFFFF"/>
        </w:rPr>
        <w:t>规划期限为</w:t>
      </w:r>
      <w:r>
        <w:rPr>
          <w:rFonts w:ascii="仿宋_GB2312" w:hAnsi="宋体" w:eastAsia="仿宋_GB2312"/>
          <w:color w:val="333333"/>
          <w:sz w:val="24"/>
          <w:szCs w:val="24"/>
          <w:shd w:val="clear" w:color="auto" w:fill="FFFFFF"/>
        </w:rPr>
        <w:t>20</w:t>
      </w:r>
      <w:r>
        <w:rPr>
          <w:rFonts w:hint="eastAsia" w:ascii="仿宋_GB2312" w:hAnsi="宋体" w:eastAsia="仿宋_GB2312"/>
          <w:color w:val="333333"/>
          <w:sz w:val="24"/>
          <w:szCs w:val="24"/>
          <w:shd w:val="clear" w:color="auto" w:fill="FFFFFF"/>
          <w:lang w:val="en-US" w:eastAsia="zh-CN"/>
        </w:rPr>
        <w:t>21</w:t>
      </w:r>
      <w:r>
        <w:rPr>
          <w:rFonts w:ascii="仿宋_GB2312" w:hAnsi="宋体" w:eastAsia="仿宋_GB2312"/>
          <w:color w:val="333333"/>
          <w:sz w:val="24"/>
          <w:szCs w:val="24"/>
          <w:shd w:val="clear" w:color="auto" w:fill="FFFFFF"/>
        </w:rPr>
        <w:t>-203</w:t>
      </w:r>
      <w:r>
        <w:rPr>
          <w:rFonts w:hint="eastAsia" w:ascii="仿宋_GB2312" w:hAnsi="宋体" w:eastAsia="仿宋_GB2312"/>
          <w:color w:val="333333"/>
          <w:sz w:val="24"/>
          <w:szCs w:val="24"/>
          <w:shd w:val="clear" w:color="auto" w:fill="FFFFFF"/>
          <w:lang w:val="en-US" w:eastAsia="zh-CN"/>
        </w:rPr>
        <w:t>5</w:t>
      </w:r>
      <w:r>
        <w:rPr>
          <w:rFonts w:hint="eastAsia" w:ascii="仿宋_GB2312" w:hAnsi="宋体" w:eastAsia="仿宋_GB2312"/>
          <w:color w:val="333333"/>
          <w:sz w:val="24"/>
          <w:szCs w:val="24"/>
          <w:shd w:val="clear" w:color="auto" w:fill="FFFFFF"/>
        </w:rPr>
        <w:t>年，其中，近期为</w:t>
      </w:r>
      <w:r>
        <w:rPr>
          <w:rFonts w:ascii="仿宋_GB2312" w:hAnsi="宋体" w:eastAsia="仿宋_GB2312"/>
          <w:color w:val="333333"/>
          <w:sz w:val="24"/>
          <w:szCs w:val="24"/>
          <w:shd w:val="clear" w:color="auto" w:fill="FFFFFF"/>
        </w:rPr>
        <w:t>20</w:t>
      </w:r>
      <w:r>
        <w:rPr>
          <w:rFonts w:hint="eastAsia" w:ascii="仿宋_GB2312" w:hAnsi="宋体" w:eastAsia="仿宋_GB2312"/>
          <w:color w:val="333333"/>
          <w:sz w:val="24"/>
          <w:szCs w:val="24"/>
          <w:shd w:val="clear" w:color="auto" w:fill="FFFFFF"/>
          <w:lang w:val="en-US" w:eastAsia="zh-CN"/>
        </w:rPr>
        <w:t>21</w:t>
      </w:r>
      <w:r>
        <w:rPr>
          <w:rFonts w:ascii="仿宋_GB2312" w:hAnsi="宋体" w:eastAsia="仿宋_GB2312"/>
          <w:color w:val="333333"/>
          <w:sz w:val="24"/>
          <w:szCs w:val="24"/>
          <w:shd w:val="clear" w:color="auto" w:fill="FFFFFF"/>
        </w:rPr>
        <w:t>-202</w:t>
      </w:r>
      <w:r>
        <w:rPr>
          <w:rFonts w:hint="eastAsia" w:ascii="仿宋_GB2312" w:hAnsi="宋体" w:eastAsia="仿宋_GB2312"/>
          <w:color w:val="333333"/>
          <w:sz w:val="24"/>
          <w:szCs w:val="24"/>
          <w:shd w:val="clear" w:color="auto" w:fill="FFFFFF"/>
          <w:lang w:val="en-US" w:eastAsia="zh-CN"/>
        </w:rPr>
        <w:t>5</w:t>
      </w:r>
      <w:r>
        <w:rPr>
          <w:rFonts w:hint="eastAsia" w:ascii="仿宋_GB2312" w:hAnsi="宋体" w:eastAsia="仿宋_GB2312"/>
          <w:color w:val="333333"/>
          <w:sz w:val="24"/>
          <w:szCs w:val="24"/>
          <w:shd w:val="clear" w:color="auto" w:fill="FFFFFF"/>
        </w:rPr>
        <w:t>年，远期为</w:t>
      </w:r>
      <w:r>
        <w:rPr>
          <w:rFonts w:ascii="仿宋_GB2312" w:hAnsi="宋体" w:eastAsia="仿宋_GB2312"/>
          <w:color w:val="333333"/>
          <w:sz w:val="24"/>
          <w:szCs w:val="24"/>
          <w:shd w:val="clear" w:color="auto" w:fill="FFFFFF"/>
        </w:rPr>
        <w:t>202</w:t>
      </w:r>
      <w:r>
        <w:rPr>
          <w:rFonts w:hint="eastAsia" w:ascii="仿宋_GB2312" w:hAnsi="宋体" w:eastAsia="仿宋_GB2312"/>
          <w:color w:val="333333"/>
          <w:sz w:val="24"/>
          <w:szCs w:val="24"/>
          <w:shd w:val="clear" w:color="auto" w:fill="FFFFFF"/>
          <w:lang w:val="en-US" w:eastAsia="zh-CN"/>
        </w:rPr>
        <w:t>6</w:t>
      </w:r>
      <w:r>
        <w:rPr>
          <w:rFonts w:ascii="仿宋_GB2312" w:hAnsi="宋体" w:eastAsia="仿宋_GB2312"/>
          <w:color w:val="333333"/>
          <w:sz w:val="24"/>
          <w:szCs w:val="24"/>
          <w:shd w:val="clear" w:color="auto" w:fill="FFFFFF"/>
        </w:rPr>
        <w:t>—203</w:t>
      </w:r>
      <w:r>
        <w:rPr>
          <w:rFonts w:hint="eastAsia" w:ascii="仿宋_GB2312" w:hAnsi="宋体" w:eastAsia="仿宋_GB2312"/>
          <w:color w:val="333333"/>
          <w:sz w:val="24"/>
          <w:szCs w:val="24"/>
          <w:shd w:val="clear" w:color="auto" w:fill="FFFFFF"/>
          <w:lang w:val="en-US" w:eastAsia="zh-CN"/>
        </w:rPr>
        <w:t>5</w:t>
      </w:r>
      <w:r>
        <w:rPr>
          <w:rFonts w:hint="eastAsia" w:ascii="仿宋_GB2312" w:hAnsi="宋体" w:eastAsia="仿宋_GB2312"/>
          <w:color w:val="333333"/>
          <w:sz w:val="24"/>
          <w:szCs w:val="24"/>
          <w:shd w:val="clear" w:color="auto" w:fill="FFFFFF"/>
        </w:rPr>
        <w:t>年</w:t>
      </w:r>
      <w:r>
        <w:rPr>
          <w:rFonts w:hint="eastAsia" w:ascii="仿宋_GB2312" w:hAnsi="宋体" w:eastAsia="仿宋_GB2312"/>
          <w:color w:val="333333"/>
          <w:sz w:val="24"/>
          <w:szCs w:val="24"/>
          <w:shd w:val="clear" w:color="auto" w:fill="FFFFFF"/>
          <w:lang w:eastAsia="zh-CN"/>
        </w:rPr>
        <w:t>，</w:t>
      </w:r>
      <w:r>
        <w:rPr>
          <w:rFonts w:hint="eastAsia" w:ascii="仿宋_GB2312" w:hAnsi="宋体" w:eastAsia="仿宋_GB2312"/>
          <w:color w:val="333333"/>
          <w:sz w:val="24"/>
          <w:szCs w:val="24"/>
          <w:shd w:val="clear" w:color="auto" w:fill="FFFFFF"/>
        </w:rPr>
        <w:t>与寻乌县城市</w:t>
      </w:r>
      <w:r>
        <w:rPr>
          <w:rFonts w:hint="eastAsia" w:ascii="仿宋_GB2312" w:hAnsi="宋体" w:eastAsia="仿宋_GB2312"/>
          <w:color w:val="333333"/>
          <w:sz w:val="24"/>
          <w:szCs w:val="24"/>
          <w:shd w:val="clear" w:color="auto" w:fill="FFFFFF"/>
          <w:lang w:val="en-US" w:eastAsia="zh-CN"/>
        </w:rPr>
        <w:t>绿地系统规划</w:t>
      </w:r>
      <w:r>
        <w:rPr>
          <w:rFonts w:hint="eastAsia" w:ascii="仿宋_GB2312" w:hAnsi="宋体" w:eastAsia="仿宋_GB2312"/>
          <w:color w:val="333333"/>
          <w:sz w:val="24"/>
          <w:szCs w:val="24"/>
          <w:shd w:val="clear" w:color="auto" w:fill="FFFFFF"/>
        </w:rPr>
        <w:t>保持一致。</w:t>
      </w:r>
    </w:p>
    <w:p>
      <w:pPr>
        <w:numPr>
          <w:ilvl w:val="0"/>
          <w:numId w:val="1"/>
        </w:numPr>
        <w:spacing w:line="360" w:lineRule="auto"/>
        <w:rPr>
          <w:rStyle w:val="6"/>
          <w:rFonts w:ascii="仿宋_GB2312" w:eastAsia="仿宋_GB2312"/>
          <w:b w:val="0"/>
          <w:bCs w:val="0"/>
          <w:color w:val="333333"/>
          <w:sz w:val="24"/>
          <w:szCs w:val="24"/>
          <w:shd w:val="clear" w:color="auto" w:fill="F3F3F3"/>
        </w:rPr>
      </w:pPr>
      <w:r>
        <w:rPr>
          <w:rStyle w:val="6"/>
          <w:rFonts w:hint="eastAsia" w:ascii="仿宋_GB2312" w:eastAsia="仿宋_GB2312"/>
          <w:sz w:val="24"/>
          <w:szCs w:val="24"/>
          <w:shd w:val="clear" w:color="auto" w:fill="F3F3F3"/>
        </w:rPr>
        <w:t>规划目标</w:t>
      </w:r>
    </w:p>
    <w:p>
      <w:pPr>
        <w:spacing w:line="360"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按照以人为本、因地制宜、合理布局、平灾结合的原则，科学规划城市绿地防灾体系，形成一个防灾避险综合能力强、各项功能完备的城市绿地系统，一旦灾害发生时，确保人民群众的生命安全和社会稳定。</w:t>
      </w:r>
    </w:p>
    <w:p>
      <w:pPr>
        <w:numPr>
          <w:ilvl w:val="0"/>
          <w:numId w:val="1"/>
        </w:numPr>
        <w:spacing w:line="360" w:lineRule="auto"/>
        <w:rPr>
          <w:rStyle w:val="6"/>
          <w:rFonts w:hint="eastAsia" w:ascii="仿宋_GB2312" w:eastAsia="仿宋_GB2312" w:cs="Times New Roman" w:hAnsiTheme="minorHAnsi"/>
          <w:sz w:val="24"/>
          <w:szCs w:val="24"/>
          <w:shd w:val="clear" w:color="auto" w:fill="F3F3F3"/>
        </w:rPr>
      </w:pPr>
      <w:bookmarkStart w:id="0" w:name="_Toc6866"/>
      <w:r>
        <w:rPr>
          <w:rStyle w:val="6"/>
          <w:rFonts w:hint="eastAsia" w:ascii="仿宋_GB2312" w:eastAsia="仿宋_GB2312" w:cs="Times New Roman" w:hAnsiTheme="minorHAnsi"/>
          <w:sz w:val="24"/>
          <w:szCs w:val="24"/>
          <w:shd w:val="clear" w:color="auto" w:fill="F3F3F3"/>
        </w:rPr>
        <w:t>县城防灾避险规划结构</w:t>
      </w:r>
      <w:bookmarkEnd w:id="0"/>
    </w:p>
    <w:p>
      <w:pPr>
        <w:spacing w:line="360" w:lineRule="auto"/>
        <w:ind w:firstLine="480" w:firstLineChars="200"/>
        <w:rPr>
          <w:rFonts w:hint="eastAsia" w:ascii="仿宋_GB2312" w:hAnsi="宋体" w:eastAsia="仿宋_GB2312" w:cs="Times New Roman"/>
          <w:sz w:val="24"/>
          <w:szCs w:val="24"/>
        </w:rPr>
      </w:pPr>
      <w:r>
        <w:rPr>
          <w:rFonts w:hint="eastAsia" w:ascii="仿宋_GB2312" w:hAnsi="宋体" w:eastAsia="仿宋_GB2312" w:cs="Times New Roman"/>
          <w:sz w:val="24"/>
          <w:szCs w:val="24"/>
        </w:rPr>
        <w:t>中心城区结合规划绿地系统设施防灾避险场地，主要形成一廊、两心、七区、多点的防灾避险空间格局。</w:t>
      </w:r>
    </w:p>
    <w:p>
      <w:pPr>
        <w:spacing w:line="360" w:lineRule="auto"/>
        <w:ind w:firstLine="480" w:firstLineChars="200"/>
        <w:rPr>
          <w:rFonts w:hint="eastAsia" w:ascii="仿宋_GB2312" w:hAnsi="宋体" w:eastAsia="仿宋_GB2312" w:cs="Times New Roman"/>
          <w:sz w:val="24"/>
          <w:szCs w:val="24"/>
        </w:rPr>
      </w:pPr>
      <w:r>
        <w:rPr>
          <w:rFonts w:hint="eastAsia" w:ascii="仿宋_GB2312" w:hAnsi="宋体" w:eastAsia="仿宋_GB2312" w:cs="Times New Roman"/>
          <w:sz w:val="24"/>
          <w:szCs w:val="24"/>
        </w:rPr>
        <w:t>一廊：依托中心城区内部的寻乌和两边的滨河公园绿廊形成的紧急避险廊道；</w:t>
      </w:r>
    </w:p>
    <w:p>
      <w:pPr>
        <w:spacing w:line="360" w:lineRule="auto"/>
        <w:ind w:firstLine="480" w:firstLineChars="200"/>
        <w:rPr>
          <w:rFonts w:hint="eastAsia" w:ascii="仿宋_GB2312" w:hAnsi="宋体" w:eastAsia="仿宋_GB2312" w:cs="Times New Roman"/>
          <w:sz w:val="24"/>
          <w:szCs w:val="24"/>
        </w:rPr>
      </w:pPr>
      <w:r>
        <w:rPr>
          <w:rFonts w:hint="eastAsia" w:ascii="仿宋_GB2312" w:hAnsi="宋体" w:eastAsia="仿宋_GB2312" w:cs="Times New Roman"/>
          <w:sz w:val="24"/>
          <w:szCs w:val="24"/>
        </w:rPr>
        <w:t>两心：指中心城区内的黄岗山公园和文峰公园一期作为中心城区内的主要防灾避险公园核心；</w:t>
      </w:r>
    </w:p>
    <w:p>
      <w:pPr>
        <w:spacing w:line="360" w:lineRule="auto"/>
        <w:ind w:firstLine="480" w:firstLineChars="200"/>
        <w:rPr>
          <w:rFonts w:hint="eastAsia" w:ascii="仿宋_GB2312" w:hAnsi="宋体" w:eastAsia="仿宋_GB2312" w:cs="Times New Roman"/>
          <w:sz w:val="24"/>
          <w:szCs w:val="24"/>
        </w:rPr>
      </w:pPr>
      <w:r>
        <w:rPr>
          <w:rFonts w:hint="eastAsia" w:ascii="仿宋_GB2312" w:hAnsi="宋体" w:eastAsia="仿宋_GB2312" w:cs="Times New Roman"/>
          <w:sz w:val="24"/>
          <w:szCs w:val="24"/>
        </w:rPr>
        <w:t>七区：结合寻乌县总体规划及寻乌县抗震防灾规划等相关规划，将中心城区分为7个片区进行防灾减灾，主要有东团片区、新罗片区、长举片区、新桥片区、城东片区、黄坳工业片区以及石排工业片区；</w:t>
      </w:r>
    </w:p>
    <w:p>
      <w:pPr>
        <w:spacing w:line="360" w:lineRule="auto"/>
        <w:ind w:firstLine="480" w:firstLineChars="200"/>
        <w:rPr>
          <w:rFonts w:hint="eastAsia" w:ascii="仿宋_GB2312" w:hAnsi="宋体" w:eastAsia="仿宋_GB2312" w:cs="Times New Roman"/>
          <w:sz w:val="24"/>
          <w:szCs w:val="24"/>
        </w:rPr>
      </w:pPr>
      <w:r>
        <w:rPr>
          <w:rFonts w:hint="eastAsia" w:ascii="仿宋_GB2312" w:hAnsi="宋体" w:eastAsia="仿宋_GB2312" w:cs="Times New Roman"/>
          <w:sz w:val="24"/>
          <w:szCs w:val="24"/>
        </w:rPr>
        <w:t>多点：结合公园绿地形成多处防灾避险节点。</w:t>
      </w:r>
    </w:p>
    <w:p>
      <w:pPr>
        <w:numPr>
          <w:ilvl w:val="0"/>
          <w:numId w:val="1"/>
        </w:numPr>
        <w:spacing w:line="360" w:lineRule="auto"/>
        <w:rPr>
          <w:rStyle w:val="6"/>
          <w:rFonts w:hint="eastAsia" w:ascii="仿宋_GB2312" w:eastAsia="仿宋_GB2312" w:cs="Times New Roman" w:hAnsiTheme="minorHAnsi"/>
          <w:sz w:val="24"/>
          <w:szCs w:val="24"/>
          <w:shd w:val="clear" w:color="auto" w:fill="F3F3F3"/>
        </w:rPr>
      </w:pPr>
      <w:bookmarkStart w:id="1" w:name="_Toc16461"/>
      <w:r>
        <w:rPr>
          <w:rStyle w:val="6"/>
          <w:rFonts w:hint="eastAsia" w:ascii="仿宋_GB2312" w:eastAsia="仿宋_GB2312" w:cs="Times New Roman" w:hAnsiTheme="minorHAnsi"/>
          <w:sz w:val="24"/>
          <w:szCs w:val="24"/>
          <w:shd w:val="clear" w:color="auto" w:fill="F3F3F3"/>
        </w:rPr>
        <w:t>县城防灾避险总体布局</w:t>
      </w:r>
      <w:bookmarkEnd w:id="1"/>
    </w:p>
    <w:p>
      <w:pPr>
        <w:spacing w:line="360" w:lineRule="auto"/>
        <w:ind w:firstLine="480" w:firstLineChars="200"/>
        <w:rPr>
          <w:rFonts w:hint="eastAsia" w:ascii="仿宋_GB2312" w:hAnsi="宋体" w:eastAsia="仿宋_GB2312" w:cs="Times New Roman"/>
          <w:sz w:val="24"/>
          <w:szCs w:val="24"/>
        </w:rPr>
      </w:pPr>
      <w:r>
        <w:rPr>
          <w:rFonts w:hint="eastAsia" w:ascii="仿宋_GB2312" w:hAnsi="宋体" w:eastAsia="仿宋_GB2312" w:cs="Times New Roman"/>
          <w:sz w:val="24"/>
          <w:szCs w:val="24"/>
        </w:rPr>
        <w:t>县城防灾避险点分为中短期避险绿地、紧急避险绿地、隔离缓冲带、学校避险点、医疗救助点，其中中短期（中期）避险绿地有3处，分别为黄岗山公园、江东公园和三二五公园；中短期（短期）避险绿地有14处，分别为城北湿地公园、东江源湿地公园、市政公园、城北二路公园、城北广场、文峰公园、镇山公园、岳家庄公园、健康路公园、马蹄岗公园、黄坳公园、石排湿地公园、石排公园以及两处石排公园；其他皆为紧急避险绿地；结合三处学校以及两处体育场设施避险安置点分别为寻乌新中学、博豪中学、寻乌二中、两处寻乌县体育中心；结合医院设置两处防灾避险救助站；结合恒安路、振铎路、中山路、中山西路、城北三路、环城东路、文昌路、环城北路、滨河东路、大富路、东门路、双岭路、通远路、长举大道、东江源大道、新东大道、长安大道、岳家庄大道、迎宾大道、G206等道路作为主要疏散通道；结合环城北路、环城东路、滨河东路、滨河西路、大富路、东门路、强国路、文峰街、崇文路、城北二路、长宁街、通远路等道路作为避险通道。</w:t>
      </w:r>
    </w:p>
    <w:p>
      <w:pPr>
        <w:spacing w:line="360" w:lineRule="auto"/>
        <w:ind w:firstLine="480" w:firstLineChars="200"/>
        <w:rPr>
          <w:rFonts w:hint="eastAsia" w:ascii="仿宋_GB2312" w:hAnsi="宋体" w:eastAsia="仿宋_GB2312" w:cs="Times New Roman"/>
          <w:sz w:val="24"/>
          <w:szCs w:val="24"/>
        </w:rPr>
      </w:pPr>
      <w:r>
        <w:rPr>
          <w:rFonts w:hint="eastAsia" w:ascii="仿宋_GB2312" w:hAnsi="宋体" w:eastAsia="仿宋_GB2312" w:cs="Times New Roman"/>
          <w:sz w:val="24"/>
          <w:szCs w:val="24"/>
        </w:rPr>
        <w:t>防灾避险绿地人口容量预测：</w:t>
      </w:r>
    </w:p>
    <w:p>
      <w:pPr>
        <w:spacing w:line="360" w:lineRule="auto"/>
        <w:ind w:firstLine="480" w:firstLineChars="200"/>
        <w:rPr>
          <w:rFonts w:hint="eastAsia" w:ascii="仿宋_GB2312" w:hAnsi="宋体" w:eastAsia="仿宋_GB2312" w:cs="Times New Roman"/>
          <w:sz w:val="24"/>
          <w:szCs w:val="24"/>
        </w:rPr>
      </w:pPr>
      <w:r>
        <w:rPr>
          <w:rFonts w:hint="eastAsia" w:ascii="仿宋_GB2312" w:hAnsi="宋体" w:eastAsia="仿宋_GB2312" w:cs="Times New Roman"/>
          <w:sz w:val="24"/>
          <w:szCs w:val="24"/>
        </w:rPr>
        <w:t>中短期（中期）防灾避险绿地</w:t>
      </w:r>
      <w:r>
        <w:rPr>
          <w:rFonts w:hint="eastAsia" w:ascii="仿宋_GB2312" w:hAnsi="宋体" w:eastAsia="仿宋_GB2312" w:cs="Times New Roman"/>
          <w:sz w:val="24"/>
          <w:szCs w:val="24"/>
          <w:lang w:val="en-US" w:eastAsia="zh-CN"/>
        </w:rPr>
        <w:t>人口容量预测</w:t>
      </w:r>
      <w:r>
        <w:rPr>
          <w:rFonts w:hint="eastAsia" w:ascii="仿宋_GB2312" w:hAnsi="宋体" w:eastAsia="仿宋_GB2312" w:cs="Times New Roman"/>
          <w:sz w:val="24"/>
          <w:szCs w:val="24"/>
        </w:rPr>
        <w:t>：主要有黄岗山公园、三二五公园、江东公园、寻乌新中学、寻乌二中、博豪中学、城北体育场和城南体育场，</w:t>
      </w:r>
      <w:r>
        <w:rPr>
          <w:rFonts w:hint="eastAsia" w:ascii="仿宋_GB2312" w:hAnsi="宋体" w:eastAsia="仿宋_GB2312" w:cs="Times New Roman"/>
          <w:sz w:val="24"/>
          <w:szCs w:val="24"/>
          <w:lang w:val="en-US" w:eastAsia="zh-CN"/>
        </w:rPr>
        <w:t>中短期（中期）防灾避险总面积为122.21公顷，其中预测有效防灾避险面积为48.88公顷，规划按照人均3平方米有效面积计算，规划期末</w:t>
      </w:r>
      <w:r>
        <w:rPr>
          <w:rFonts w:hint="eastAsia" w:ascii="仿宋_GB2312" w:hAnsi="宋体" w:eastAsia="仿宋_GB2312" w:cs="Times New Roman"/>
          <w:sz w:val="24"/>
          <w:szCs w:val="24"/>
        </w:rPr>
        <w:t>可容纳防灾避险人口18.47万人。</w:t>
      </w:r>
    </w:p>
    <w:p>
      <w:pPr>
        <w:spacing w:line="360" w:lineRule="auto"/>
        <w:ind w:firstLine="480" w:firstLineChars="200"/>
        <w:rPr>
          <w:rFonts w:hint="eastAsia" w:ascii="仿宋_GB2312" w:hAnsi="宋体" w:eastAsia="仿宋_GB2312" w:cs="Times New Roman"/>
          <w:sz w:val="24"/>
          <w:szCs w:val="24"/>
        </w:rPr>
      </w:pPr>
      <w:r>
        <w:rPr>
          <w:rFonts w:hint="eastAsia" w:ascii="仿宋_GB2312" w:hAnsi="宋体" w:eastAsia="仿宋_GB2312" w:cs="Times New Roman"/>
          <w:sz w:val="24"/>
          <w:szCs w:val="24"/>
        </w:rPr>
        <w:t>中短期（短期）防灾避险绿地</w:t>
      </w:r>
      <w:r>
        <w:rPr>
          <w:rFonts w:hint="eastAsia" w:ascii="仿宋_GB2312" w:hAnsi="宋体" w:eastAsia="仿宋_GB2312" w:cs="Times New Roman"/>
          <w:sz w:val="24"/>
          <w:szCs w:val="24"/>
          <w:lang w:val="en-US" w:eastAsia="zh-CN"/>
        </w:rPr>
        <w:t>人口容量预测</w:t>
      </w:r>
      <w:r>
        <w:rPr>
          <w:rFonts w:hint="eastAsia" w:ascii="仿宋_GB2312" w:hAnsi="宋体" w:eastAsia="仿宋_GB2312" w:cs="Times New Roman"/>
          <w:sz w:val="24"/>
          <w:szCs w:val="24"/>
        </w:rPr>
        <w:t>：主要有14处公园，</w:t>
      </w:r>
      <w:r>
        <w:rPr>
          <w:rFonts w:hint="eastAsia" w:ascii="仿宋_GB2312" w:hAnsi="宋体" w:eastAsia="仿宋_GB2312" w:cs="Times New Roman"/>
          <w:sz w:val="24"/>
          <w:szCs w:val="24"/>
          <w:lang w:val="en-US" w:eastAsia="zh-CN"/>
        </w:rPr>
        <w:t>总面积为164.51公顷，其中有效面积为65.80公顷，规划按照人均4平方米有效面积计算，规划期末</w:t>
      </w:r>
      <w:r>
        <w:rPr>
          <w:rFonts w:hint="eastAsia" w:ascii="仿宋_GB2312" w:hAnsi="宋体" w:eastAsia="仿宋_GB2312" w:cs="Times New Roman"/>
          <w:sz w:val="24"/>
          <w:szCs w:val="24"/>
        </w:rPr>
        <w:t>可容纳防灾避险人口</w:t>
      </w:r>
      <w:r>
        <w:rPr>
          <w:rFonts w:hint="eastAsia" w:ascii="仿宋_GB2312" w:hAnsi="宋体" w:eastAsia="仿宋_GB2312" w:cs="Times New Roman"/>
          <w:sz w:val="24"/>
          <w:szCs w:val="24"/>
          <w:lang w:val="en-US" w:eastAsia="zh-CN"/>
        </w:rPr>
        <w:t>16.45</w:t>
      </w:r>
      <w:r>
        <w:rPr>
          <w:rFonts w:hint="eastAsia" w:ascii="仿宋_GB2312" w:hAnsi="宋体" w:eastAsia="仿宋_GB2312" w:cs="Times New Roman"/>
          <w:sz w:val="24"/>
          <w:szCs w:val="24"/>
        </w:rPr>
        <w:t>万人。</w:t>
      </w:r>
    </w:p>
    <w:p>
      <w:pPr>
        <w:spacing w:line="360" w:lineRule="auto"/>
        <w:ind w:firstLine="480" w:firstLineChars="200"/>
        <w:rPr>
          <w:rFonts w:hint="eastAsia" w:ascii="仿宋_GB2312" w:hAnsi="宋体" w:eastAsia="仿宋_GB2312" w:cs="Times New Roman"/>
          <w:sz w:val="24"/>
          <w:szCs w:val="24"/>
        </w:rPr>
      </w:pPr>
      <w:r>
        <w:rPr>
          <w:rFonts w:hint="eastAsia" w:ascii="仿宋_GB2312" w:hAnsi="宋体" w:eastAsia="仿宋_GB2312" w:cs="Times New Roman"/>
          <w:sz w:val="24"/>
          <w:szCs w:val="24"/>
        </w:rPr>
        <w:t>紧急避险绿地</w:t>
      </w:r>
      <w:r>
        <w:rPr>
          <w:rFonts w:hint="eastAsia" w:ascii="仿宋_GB2312" w:hAnsi="宋体" w:eastAsia="仿宋_GB2312" w:cs="Times New Roman"/>
          <w:sz w:val="24"/>
          <w:szCs w:val="24"/>
          <w:lang w:val="en-US" w:eastAsia="zh-CN"/>
        </w:rPr>
        <w:t>人口容量预测</w:t>
      </w:r>
      <w:r>
        <w:rPr>
          <w:rFonts w:hint="eastAsia" w:ascii="仿宋_GB2312" w:hAnsi="宋体" w:eastAsia="仿宋_GB2312" w:cs="Times New Roman"/>
          <w:sz w:val="24"/>
          <w:szCs w:val="24"/>
        </w:rPr>
        <w:t>：紧急避险绿地共设置25处，</w:t>
      </w:r>
      <w:r>
        <w:rPr>
          <w:rFonts w:hint="eastAsia" w:ascii="仿宋_GB2312" w:hAnsi="宋体" w:eastAsia="仿宋_GB2312" w:cs="Times New Roman"/>
          <w:sz w:val="24"/>
          <w:szCs w:val="24"/>
          <w:lang w:val="en-US" w:eastAsia="zh-CN"/>
        </w:rPr>
        <w:t>总面积为94.63公顷，其中有效面积为28.39公顷，规划按照人均2平方米有效面积计算，规划期末</w:t>
      </w:r>
      <w:r>
        <w:rPr>
          <w:rFonts w:hint="eastAsia" w:ascii="仿宋_GB2312" w:hAnsi="宋体" w:eastAsia="仿宋_GB2312" w:cs="Times New Roman"/>
          <w:sz w:val="24"/>
          <w:szCs w:val="24"/>
        </w:rPr>
        <w:t>可容纳防灾避险人口14.65万人，</w:t>
      </w:r>
      <w:r>
        <w:rPr>
          <w:rFonts w:hint="eastAsia" w:ascii="仿宋_GB2312" w:hAnsi="宋体" w:eastAsia="仿宋_GB2312" w:cs="Times New Roman"/>
          <w:sz w:val="24"/>
          <w:szCs w:val="24"/>
          <w:lang w:val="en-US" w:eastAsia="zh-CN"/>
        </w:rPr>
        <w:t>由于</w:t>
      </w:r>
      <w:r>
        <w:rPr>
          <w:rFonts w:hint="eastAsia" w:ascii="仿宋_GB2312" w:hAnsi="宋体" w:eastAsia="仿宋_GB2312" w:cs="Times New Roman"/>
          <w:sz w:val="24"/>
          <w:szCs w:val="24"/>
        </w:rPr>
        <w:t>中短期避险绿地同时也可以作为紧急避险绿地，预计可容纳防灾避险人口超</w:t>
      </w:r>
      <w:r>
        <w:rPr>
          <w:rFonts w:hint="eastAsia" w:ascii="仿宋_GB2312" w:hAnsi="宋体" w:eastAsia="仿宋_GB2312" w:cs="Times New Roman"/>
          <w:sz w:val="24"/>
          <w:szCs w:val="24"/>
          <w:lang w:val="en-US" w:eastAsia="zh-CN"/>
        </w:rPr>
        <w:t>15</w:t>
      </w:r>
      <w:r>
        <w:rPr>
          <w:rFonts w:hint="eastAsia" w:ascii="仿宋_GB2312" w:hAnsi="宋体" w:eastAsia="仿宋_GB2312" w:cs="Times New Roman"/>
          <w:sz w:val="24"/>
          <w:szCs w:val="24"/>
        </w:rPr>
        <w:t>万人。</w:t>
      </w:r>
    </w:p>
    <w:p>
      <w:pPr>
        <w:numPr>
          <w:ilvl w:val="0"/>
          <w:numId w:val="1"/>
        </w:numPr>
        <w:spacing w:line="360" w:lineRule="auto"/>
        <w:rPr>
          <w:rStyle w:val="6"/>
          <w:rFonts w:hint="eastAsia" w:ascii="仿宋_GB2312" w:eastAsia="仿宋_GB2312" w:cs="Times New Roman" w:hAnsiTheme="minorHAnsi"/>
          <w:sz w:val="24"/>
          <w:szCs w:val="24"/>
          <w:shd w:val="clear" w:color="auto" w:fill="F3F3F3"/>
        </w:rPr>
      </w:pPr>
      <w:bookmarkStart w:id="2" w:name="_Toc24554"/>
      <w:r>
        <w:rPr>
          <w:rStyle w:val="6"/>
          <w:rFonts w:hint="eastAsia" w:ascii="仿宋_GB2312" w:eastAsia="仿宋_GB2312" w:cs="Times New Roman" w:hAnsiTheme="minorHAnsi"/>
          <w:sz w:val="24"/>
          <w:szCs w:val="24"/>
          <w:shd w:val="clear" w:color="auto" w:fill="F3F3F3"/>
        </w:rPr>
        <w:t>城市防灾避险绿地专项规划</w:t>
      </w:r>
      <w:bookmarkEnd w:id="2"/>
    </w:p>
    <w:p>
      <w:pPr>
        <w:spacing w:line="360" w:lineRule="auto"/>
        <w:ind w:firstLine="480" w:firstLineChars="200"/>
        <w:rPr>
          <w:rFonts w:hint="eastAsia" w:ascii="仿宋_GB2312" w:hAnsi="宋体" w:eastAsia="仿宋_GB2312" w:cs="Times New Roman"/>
          <w:sz w:val="24"/>
          <w:szCs w:val="24"/>
        </w:rPr>
      </w:pPr>
      <w:r>
        <w:rPr>
          <w:rFonts w:hint="eastAsia" w:ascii="仿宋_GB2312" w:hAnsi="宋体" w:eastAsia="仿宋_GB2312" w:cs="Times New Roman"/>
          <w:sz w:val="24"/>
          <w:szCs w:val="24"/>
        </w:rPr>
        <w:t>现状城市绿地改建提升为承担防灾避险功能的绿地，应与现状绿地的功能分区相协调，不应破坏城市绿地原有功能结构，尽最大可能维持原有生态、游憩、观贫、科普等常态功能。灾害发生后，可适度将道路、广场、公园绿化用地及部分服务设施等转化承担防灾避险功能；</w:t>
      </w:r>
    </w:p>
    <w:p>
      <w:pPr>
        <w:spacing w:line="360" w:lineRule="auto"/>
        <w:ind w:firstLine="480" w:firstLineChars="200"/>
        <w:rPr>
          <w:rFonts w:hint="eastAsia" w:ascii="仿宋_GB2312" w:hAnsi="宋体" w:eastAsia="仿宋_GB2312" w:cs="Times New Roman"/>
          <w:sz w:val="24"/>
          <w:szCs w:val="24"/>
        </w:rPr>
      </w:pPr>
      <w:r>
        <w:rPr>
          <w:rFonts w:hint="eastAsia" w:ascii="仿宋_GB2312" w:hAnsi="宋体" w:eastAsia="仿宋_GB2312" w:cs="Times New Roman"/>
          <w:sz w:val="24"/>
          <w:szCs w:val="24"/>
        </w:rPr>
        <w:t>新建承担防灾避险功能的绿地的功能分区，应充分协调城镇绿地的防灾避险功能与常态功能，切实达到平灾结合、利于转换的目的。</w:t>
      </w:r>
    </w:p>
    <w:p>
      <w:pPr>
        <w:spacing w:line="360" w:lineRule="auto"/>
        <w:ind w:firstLine="480" w:firstLineChars="200"/>
        <w:rPr>
          <w:rFonts w:hint="eastAsia" w:ascii="仿宋_GB2312" w:hAnsi="宋体" w:eastAsia="仿宋_GB2312" w:cs="Times New Roman"/>
          <w:sz w:val="24"/>
          <w:szCs w:val="24"/>
        </w:rPr>
      </w:pPr>
      <w:r>
        <w:rPr>
          <w:rFonts w:hint="eastAsia" w:ascii="仿宋_GB2312" w:hAnsi="宋体" w:eastAsia="仿宋_GB2312" w:cs="Times New Roman"/>
          <w:sz w:val="24"/>
          <w:szCs w:val="24"/>
        </w:rPr>
        <w:t>灾时功能分区要求</w:t>
      </w:r>
    </w:p>
    <w:p>
      <w:pPr>
        <w:spacing w:line="360" w:lineRule="auto"/>
        <w:ind w:firstLine="480" w:firstLineChars="200"/>
        <w:rPr>
          <w:rFonts w:hint="eastAsia" w:ascii="仿宋_GB2312" w:hAnsi="宋体" w:eastAsia="仿宋_GB2312" w:cs="Times New Roman"/>
          <w:sz w:val="24"/>
          <w:szCs w:val="24"/>
        </w:rPr>
      </w:pPr>
      <w:r>
        <w:rPr>
          <w:rFonts w:hint="eastAsia" w:ascii="仿宋_GB2312" w:hAnsi="宋体" w:eastAsia="仿宋_GB2312" w:cs="Times New Roman"/>
          <w:sz w:val="24"/>
          <w:szCs w:val="24"/>
        </w:rPr>
        <w:t>长时避险绿地应至少具备以下几个灾时功能区：教灾指挥区、物资存储与装卸区、避灾与灾后重建生活营地、临时医疗区、对外交通区（停车场与直升机临时停机坪）：</w:t>
      </w:r>
    </w:p>
    <w:p>
      <w:pPr>
        <w:spacing w:line="360" w:lineRule="auto"/>
        <w:ind w:firstLine="480" w:firstLineChars="200"/>
        <w:rPr>
          <w:rFonts w:hint="eastAsia" w:ascii="仿宋_GB2312" w:hAnsi="宋体" w:eastAsia="仿宋_GB2312" w:cs="Times New Roman"/>
          <w:sz w:val="24"/>
          <w:szCs w:val="24"/>
        </w:rPr>
      </w:pPr>
      <w:r>
        <w:rPr>
          <w:rFonts w:hint="eastAsia" w:ascii="仿宋_GB2312" w:hAnsi="宋体" w:eastAsia="仿宋_GB2312" w:cs="Times New Roman"/>
          <w:sz w:val="24"/>
          <w:szCs w:val="24"/>
        </w:rPr>
        <w:t>临时避险绿地应至少具备以下几个灾时功能区：管理与指挥区、物资存储与装卸区、临时避险空间（含临时应急篷宿区、紧急医疗点和简易公共卫生设施）、对外交通区（教援用车停车场）</w:t>
      </w:r>
    </w:p>
    <w:p>
      <w:pPr>
        <w:spacing w:line="360" w:lineRule="auto"/>
        <w:ind w:firstLine="480" w:firstLineChars="200"/>
        <w:rPr>
          <w:rFonts w:ascii="仿宋_GB2312" w:hAnsi="宋体" w:eastAsia="仿宋_GB2312" w:cs="宋体"/>
          <w:sz w:val="24"/>
          <w:szCs w:val="24"/>
        </w:rPr>
      </w:pPr>
      <w:r>
        <w:rPr>
          <w:rFonts w:hint="eastAsia" w:ascii="仿宋_GB2312" w:hAnsi="宋体" w:eastAsia="仿宋_GB2312" w:cs="Times New Roman"/>
          <w:sz w:val="24"/>
          <w:szCs w:val="24"/>
        </w:rPr>
        <w:t>紧急避险绿地应根据场地条件合理设置紧急避险空间。</w:t>
      </w:r>
    </w:p>
    <w:tbl>
      <w:tblPr>
        <w:tblStyle w:val="4"/>
        <w:tblW w:w="0" w:type="auto"/>
        <w:jc w:val="center"/>
        <w:tblLayout w:type="fixed"/>
        <w:tblCellMar>
          <w:top w:w="0" w:type="dxa"/>
          <w:left w:w="108" w:type="dxa"/>
          <w:bottom w:w="0" w:type="dxa"/>
          <w:right w:w="108" w:type="dxa"/>
        </w:tblCellMar>
      </w:tblPr>
      <w:tblGrid>
        <w:gridCol w:w="436"/>
        <w:gridCol w:w="16"/>
        <w:gridCol w:w="82"/>
        <w:gridCol w:w="1135"/>
        <w:gridCol w:w="773"/>
        <w:gridCol w:w="5978"/>
      </w:tblGrid>
      <w:tr>
        <w:tblPrEx>
          <w:tblCellMar>
            <w:top w:w="0" w:type="dxa"/>
            <w:left w:w="108" w:type="dxa"/>
            <w:bottom w:w="0" w:type="dxa"/>
            <w:right w:w="108" w:type="dxa"/>
          </w:tblCellMar>
        </w:tblPrEx>
        <w:trPr>
          <w:trHeight w:val="287" w:hRule="atLeast"/>
          <w:jc w:val="center"/>
        </w:trPr>
        <w:tc>
          <w:tcPr>
            <w:tcW w:w="8420" w:type="dxa"/>
            <w:gridSpan w:val="6"/>
            <w:tcBorders>
              <w:top w:val="nil"/>
              <w:left w:val="nil"/>
              <w:bottom w:val="nil"/>
              <w:right w:val="nil"/>
            </w:tcBorders>
            <w:shd w:val="clear" w:color="auto" w:fill="auto"/>
            <w:vAlign w:val="center"/>
          </w:tcPr>
          <w:p>
            <w:pPr>
              <w:widowControl/>
              <w:ind w:firstLine="442"/>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val="en-US" w:eastAsia="zh-CN"/>
              </w:rPr>
              <w:t>中短期防灾避险</w:t>
            </w:r>
            <w:r>
              <w:rPr>
                <w:rFonts w:hint="eastAsia" w:ascii="仿宋" w:hAnsi="仿宋" w:eastAsia="仿宋" w:cs="仿宋"/>
                <w:b/>
                <w:bCs/>
                <w:color w:val="000000"/>
                <w:kern w:val="0"/>
                <w:sz w:val="20"/>
                <w:szCs w:val="20"/>
              </w:rPr>
              <w:t>要求一览表</w:t>
            </w:r>
          </w:p>
        </w:tc>
      </w:tr>
      <w:tr>
        <w:tblPrEx>
          <w:tblCellMar>
            <w:top w:w="0" w:type="dxa"/>
            <w:left w:w="108" w:type="dxa"/>
            <w:bottom w:w="0" w:type="dxa"/>
            <w:right w:w="108" w:type="dxa"/>
          </w:tblCellMar>
        </w:tblPrEx>
        <w:trPr>
          <w:trHeight w:val="583" w:hRule="atLeast"/>
          <w:jc w:val="center"/>
        </w:trPr>
        <w:tc>
          <w:tcPr>
            <w:tcW w:w="5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类型</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名称</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设置与否</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建设要求</w:t>
            </w:r>
          </w:p>
        </w:tc>
      </w:tr>
      <w:tr>
        <w:tblPrEx>
          <w:tblCellMar>
            <w:top w:w="0" w:type="dxa"/>
            <w:left w:w="108" w:type="dxa"/>
            <w:bottom w:w="0" w:type="dxa"/>
            <w:right w:w="108" w:type="dxa"/>
          </w:tblCellMar>
        </w:tblPrEx>
        <w:trPr>
          <w:trHeight w:val="583" w:hRule="atLeast"/>
          <w:jc w:val="center"/>
        </w:trPr>
        <w:tc>
          <w:tcPr>
            <w:tcW w:w="53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基本配套设施</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应急蓬宿区设施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r>
      <w:tr>
        <w:tblPrEx>
          <w:tblCellMar>
            <w:top w:w="0" w:type="dxa"/>
            <w:left w:w="108" w:type="dxa"/>
            <w:bottom w:w="0" w:type="dxa"/>
            <w:right w:w="108" w:type="dxa"/>
          </w:tblCellMar>
        </w:tblPrEx>
        <w:trPr>
          <w:trHeight w:val="870" w:hRule="atLeast"/>
          <w:jc w:val="center"/>
        </w:trPr>
        <w:tc>
          <w:tcPr>
            <w:tcW w:w="5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hint="eastAsia" w:ascii="仿宋" w:hAnsi="仿宋" w:eastAsia="仿宋" w:cs="仿宋"/>
                <w:color w:val="000000"/>
                <w:sz w:val="20"/>
                <w:szCs w:val="2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医疗救护和卫生防疫设施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用地面积较少，可以结合医疗救助点进行医疗救护。能够对受伤灾民进行简单处理包扎。提供基本的医疗救护，组织将伤员转治医疗服务中心，并负责卫生防疫工作，预防瘟疫传播。</w:t>
            </w:r>
          </w:p>
        </w:tc>
      </w:tr>
      <w:tr>
        <w:tblPrEx>
          <w:tblCellMar>
            <w:top w:w="0" w:type="dxa"/>
            <w:left w:w="108" w:type="dxa"/>
            <w:bottom w:w="0" w:type="dxa"/>
            <w:right w:w="108" w:type="dxa"/>
          </w:tblCellMar>
        </w:tblPrEx>
        <w:trPr>
          <w:trHeight w:val="583" w:hRule="atLeast"/>
          <w:jc w:val="center"/>
        </w:trPr>
        <w:tc>
          <w:tcPr>
            <w:tcW w:w="5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hint="eastAsia" w:ascii="仿宋" w:hAnsi="仿宋" w:eastAsia="仿宋" w:cs="仿宋"/>
                <w:color w:val="000000"/>
                <w:sz w:val="20"/>
                <w:szCs w:val="2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应急供水设施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没有独立的供水设施如封闭式储水池，地下水井并备配移动供水池，纯净水设备，供水指标：50元一人一天。</w:t>
            </w:r>
          </w:p>
        </w:tc>
      </w:tr>
      <w:tr>
        <w:tblPrEx>
          <w:tblCellMar>
            <w:top w:w="0" w:type="dxa"/>
            <w:left w:w="108" w:type="dxa"/>
            <w:bottom w:w="0" w:type="dxa"/>
            <w:right w:w="108" w:type="dxa"/>
          </w:tblCellMar>
        </w:tblPrEx>
        <w:trPr>
          <w:trHeight w:val="583" w:hRule="atLeast"/>
          <w:jc w:val="center"/>
        </w:trPr>
        <w:tc>
          <w:tcPr>
            <w:tcW w:w="5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hint="eastAsia" w:ascii="仿宋" w:hAnsi="仿宋" w:eastAsia="仿宋" w:cs="仿宋"/>
                <w:color w:val="000000"/>
                <w:sz w:val="20"/>
                <w:szCs w:val="2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应急供电设施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1.采用2路及以上线路供电。                                         2.配备电有便携式电机组，并储备有燃料。</w:t>
            </w:r>
          </w:p>
        </w:tc>
      </w:tr>
      <w:tr>
        <w:tblPrEx>
          <w:tblCellMar>
            <w:top w:w="0" w:type="dxa"/>
            <w:left w:w="108" w:type="dxa"/>
            <w:bottom w:w="0" w:type="dxa"/>
            <w:right w:w="108" w:type="dxa"/>
          </w:tblCellMar>
        </w:tblPrEx>
        <w:trPr>
          <w:trHeight w:val="1730" w:hRule="atLeast"/>
          <w:jc w:val="center"/>
        </w:trPr>
        <w:tc>
          <w:tcPr>
            <w:tcW w:w="5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hint="eastAsia" w:ascii="仿宋" w:hAnsi="仿宋" w:eastAsia="仿宋" w:cs="仿宋"/>
                <w:color w:val="000000"/>
                <w:sz w:val="20"/>
                <w:szCs w:val="2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应急通讯设施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ind w:firstLine="0" w:firstLineChars="0"/>
              <w:jc w:val="left"/>
              <w:textAlignment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 xml:space="preserve">设备固定电话。按每人一百设置一门固定电话.                                 2.设置移动通讯设备，让无线信号覆盖避难场所。                             3.配备卫星无线通讯设施。                                       4.设置广播系统通，并宜与公园、学校等广播系统结合。                        </w:t>
            </w:r>
          </w:p>
          <w:p>
            <w:pPr>
              <w:widowControl/>
              <w:ind w:firstLine="0" w:firstLineChars="0"/>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5.设备监控系统（天眼若干）。                                      6.设立公共信息发布牌若干。</w:t>
            </w:r>
          </w:p>
        </w:tc>
      </w:tr>
      <w:tr>
        <w:tblPrEx>
          <w:tblCellMar>
            <w:top w:w="0" w:type="dxa"/>
            <w:left w:w="108" w:type="dxa"/>
            <w:bottom w:w="0" w:type="dxa"/>
            <w:right w:w="108" w:type="dxa"/>
          </w:tblCellMar>
        </w:tblPrEx>
        <w:trPr>
          <w:trHeight w:val="870" w:hRule="atLeast"/>
          <w:jc w:val="center"/>
        </w:trPr>
        <w:tc>
          <w:tcPr>
            <w:tcW w:w="5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hint="eastAsia" w:ascii="仿宋" w:hAnsi="仿宋" w:eastAsia="仿宋" w:cs="仿宋"/>
                <w:color w:val="000000"/>
                <w:sz w:val="20"/>
                <w:szCs w:val="2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应急排污系设施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1.设置独立的排污系统。                                             2.医疗污水处理达标后，才可排入污水系统。                                  3.应急厕所应附设或单独设置化粪池。</w:t>
            </w:r>
          </w:p>
        </w:tc>
      </w:tr>
      <w:tr>
        <w:tblPrEx>
          <w:tblCellMar>
            <w:top w:w="0" w:type="dxa"/>
            <w:left w:w="108" w:type="dxa"/>
            <w:bottom w:w="0" w:type="dxa"/>
            <w:right w:w="108" w:type="dxa"/>
          </w:tblCellMar>
        </w:tblPrEx>
        <w:trPr>
          <w:trHeight w:val="1157" w:hRule="atLeast"/>
          <w:jc w:val="center"/>
        </w:trPr>
        <w:tc>
          <w:tcPr>
            <w:tcW w:w="5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hint="eastAsia" w:ascii="仿宋" w:hAnsi="仿宋" w:eastAsia="仿宋" w:cs="仿宋"/>
                <w:color w:val="000000"/>
                <w:sz w:val="20"/>
                <w:szCs w:val="2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应急厕所</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可与洗漱间合设：按每1000人设置1处公厕。间距不小于300米，设于下风向。且远离蓬宿区300米以上，但不远于50米。也可预留移动厕所布置空间，灾害发生后根据需要配设。占地公厕、占地面积大于等于20平方米，设10个蹲位。</w:t>
            </w:r>
          </w:p>
        </w:tc>
      </w:tr>
      <w:tr>
        <w:tblPrEx>
          <w:tblCellMar>
            <w:top w:w="0" w:type="dxa"/>
            <w:left w:w="108" w:type="dxa"/>
            <w:bottom w:w="0" w:type="dxa"/>
            <w:right w:w="108" w:type="dxa"/>
          </w:tblCellMar>
        </w:tblPrEx>
        <w:trPr>
          <w:trHeight w:val="583" w:hRule="atLeast"/>
          <w:jc w:val="center"/>
        </w:trPr>
        <w:tc>
          <w:tcPr>
            <w:tcW w:w="5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hint="eastAsia" w:ascii="仿宋" w:hAnsi="仿宋" w:eastAsia="仿宋" w:cs="仿宋"/>
                <w:color w:val="000000"/>
                <w:sz w:val="20"/>
                <w:szCs w:val="2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应急垃圾储运设施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垃圾收集点服务半径70米。</w:t>
            </w:r>
          </w:p>
        </w:tc>
      </w:tr>
      <w:tr>
        <w:tblPrEx>
          <w:tblCellMar>
            <w:top w:w="0" w:type="dxa"/>
            <w:left w:w="108" w:type="dxa"/>
            <w:bottom w:w="0" w:type="dxa"/>
            <w:right w:w="108" w:type="dxa"/>
          </w:tblCellMar>
        </w:tblPrEx>
        <w:trPr>
          <w:trHeight w:val="296" w:hRule="atLeast"/>
          <w:jc w:val="center"/>
        </w:trPr>
        <w:tc>
          <w:tcPr>
            <w:tcW w:w="5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hint="eastAsia" w:ascii="仿宋" w:hAnsi="仿宋" w:eastAsia="仿宋" w:cs="仿宋"/>
                <w:color w:val="000000"/>
                <w:sz w:val="20"/>
                <w:szCs w:val="2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应急通道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场地内应尽量实现外围环路，便于人员疏散。</w:t>
            </w:r>
          </w:p>
        </w:tc>
      </w:tr>
      <w:tr>
        <w:tblPrEx>
          <w:tblCellMar>
            <w:top w:w="0" w:type="dxa"/>
            <w:left w:w="108" w:type="dxa"/>
            <w:bottom w:w="0" w:type="dxa"/>
            <w:right w:w="108" w:type="dxa"/>
          </w:tblCellMar>
        </w:tblPrEx>
        <w:trPr>
          <w:trHeight w:val="296" w:hRule="atLeast"/>
          <w:jc w:val="center"/>
        </w:trPr>
        <w:tc>
          <w:tcPr>
            <w:tcW w:w="5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hint="eastAsia" w:ascii="仿宋" w:hAnsi="仿宋" w:eastAsia="仿宋" w:cs="仿宋"/>
                <w:color w:val="000000"/>
                <w:sz w:val="20"/>
                <w:szCs w:val="2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应急标志</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在避难场所入口，各功能分区和周边设置指示指标，并且入口悬挂1：500的应急避难场所平面图及周边低区疏散通道图。</w:t>
            </w:r>
          </w:p>
        </w:tc>
      </w:tr>
      <w:tr>
        <w:tblPrEx>
          <w:tblCellMar>
            <w:top w:w="0" w:type="dxa"/>
            <w:left w:w="108" w:type="dxa"/>
            <w:bottom w:w="0" w:type="dxa"/>
            <w:right w:w="108" w:type="dxa"/>
          </w:tblCellMar>
        </w:tblPrEx>
        <w:trPr>
          <w:trHeight w:val="583" w:hRule="atLeast"/>
          <w:jc w:val="center"/>
        </w:trPr>
        <w:tc>
          <w:tcPr>
            <w:tcW w:w="5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hint="eastAsia" w:ascii="仿宋" w:hAnsi="仿宋" w:eastAsia="仿宋" w:cs="仿宋"/>
                <w:color w:val="000000"/>
                <w:sz w:val="20"/>
                <w:szCs w:val="2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集散场地</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设置一处面积大于500平方米的集散场地，作为人员疏散临时停车物资运输，与直升机临时停车坪设置在一起。</w:t>
            </w:r>
          </w:p>
        </w:tc>
      </w:tr>
      <w:tr>
        <w:tblPrEx>
          <w:tblCellMar>
            <w:top w:w="0" w:type="dxa"/>
            <w:left w:w="108" w:type="dxa"/>
            <w:bottom w:w="0" w:type="dxa"/>
            <w:right w:w="108" w:type="dxa"/>
          </w:tblCellMar>
        </w:tblPrEx>
        <w:trPr>
          <w:trHeight w:val="583" w:hRule="atLeast"/>
          <w:jc w:val="center"/>
        </w:trPr>
        <w:tc>
          <w:tcPr>
            <w:tcW w:w="53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一般设施</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应急消防设施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设置消防栓，且间距不超过120米。</w:t>
            </w:r>
          </w:p>
        </w:tc>
      </w:tr>
      <w:tr>
        <w:tblPrEx>
          <w:tblCellMar>
            <w:top w:w="0" w:type="dxa"/>
            <w:left w:w="108" w:type="dxa"/>
            <w:bottom w:w="0" w:type="dxa"/>
            <w:right w:w="108" w:type="dxa"/>
          </w:tblCellMar>
        </w:tblPrEx>
        <w:trPr>
          <w:trHeight w:val="583" w:hRule="atLeast"/>
          <w:jc w:val="center"/>
        </w:trPr>
        <w:tc>
          <w:tcPr>
            <w:tcW w:w="5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hint="eastAsia" w:ascii="仿宋" w:hAnsi="仿宋" w:eastAsia="仿宋" w:cs="仿宋"/>
                <w:color w:val="000000"/>
                <w:sz w:val="20"/>
                <w:szCs w:val="2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应急物资储备设施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设置饮用水，食品，药物，消防，帐篷，器材，交通，工具等物资库。物资仓库应靠近输送救援出入口。便于物资运输。</w:t>
            </w:r>
          </w:p>
        </w:tc>
      </w:tr>
      <w:tr>
        <w:tblPrEx>
          <w:tblCellMar>
            <w:top w:w="0" w:type="dxa"/>
            <w:left w:w="108" w:type="dxa"/>
            <w:bottom w:w="0" w:type="dxa"/>
            <w:right w:w="108" w:type="dxa"/>
          </w:tblCellMar>
        </w:tblPrEx>
        <w:trPr>
          <w:trHeight w:val="1444" w:hRule="atLeast"/>
          <w:jc w:val="center"/>
        </w:trPr>
        <w:tc>
          <w:tcPr>
            <w:tcW w:w="5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hint="eastAsia" w:ascii="仿宋" w:hAnsi="仿宋" w:eastAsia="仿宋" w:cs="仿宋"/>
                <w:color w:val="000000"/>
                <w:sz w:val="20"/>
                <w:szCs w:val="2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应急指挥管理设施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1.设置救灾指挥中心，负责统筹整个救灾指挥行动，对救援人员进行调度，指挥救援和安置。配置监控广播系统，无线通讯设备和固定电话。与政府或人防应急指挥中心联网。                                 2.设置应急服务中心，为本避难场所服务，组织灾民有序安置物资收集与分配。占地面积大于等于100平方米。</w:t>
            </w:r>
          </w:p>
        </w:tc>
      </w:tr>
      <w:tr>
        <w:tblPrEx>
          <w:tblCellMar>
            <w:top w:w="0" w:type="dxa"/>
            <w:left w:w="108" w:type="dxa"/>
            <w:bottom w:w="0" w:type="dxa"/>
            <w:right w:w="108" w:type="dxa"/>
          </w:tblCellMar>
        </w:tblPrEx>
        <w:trPr>
          <w:trHeight w:val="583" w:hRule="atLeast"/>
          <w:jc w:val="center"/>
        </w:trPr>
        <w:tc>
          <w:tcPr>
            <w:tcW w:w="53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综合设施</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结合集散场地设施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结合集散场地设施</w:t>
            </w:r>
          </w:p>
        </w:tc>
      </w:tr>
      <w:tr>
        <w:tblPrEx>
          <w:tblCellMar>
            <w:top w:w="0" w:type="dxa"/>
            <w:left w:w="108" w:type="dxa"/>
            <w:bottom w:w="0" w:type="dxa"/>
            <w:right w:w="108" w:type="dxa"/>
          </w:tblCellMar>
        </w:tblPrEx>
        <w:trPr>
          <w:trHeight w:val="296" w:hRule="atLeast"/>
          <w:jc w:val="center"/>
        </w:trPr>
        <w:tc>
          <w:tcPr>
            <w:tcW w:w="5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hint="eastAsia" w:ascii="仿宋" w:hAnsi="仿宋" w:eastAsia="仿宋" w:cs="仿宋"/>
                <w:color w:val="000000"/>
                <w:sz w:val="20"/>
                <w:szCs w:val="2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r>
      <w:tr>
        <w:tblPrEx>
          <w:tblCellMar>
            <w:top w:w="0" w:type="dxa"/>
            <w:left w:w="108" w:type="dxa"/>
            <w:bottom w:w="0" w:type="dxa"/>
            <w:right w:w="108" w:type="dxa"/>
          </w:tblCellMar>
        </w:tblPrEx>
        <w:trPr>
          <w:trHeight w:val="583" w:hRule="atLeast"/>
          <w:jc w:val="center"/>
        </w:trPr>
        <w:tc>
          <w:tcPr>
            <w:tcW w:w="5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hint="eastAsia" w:ascii="仿宋" w:hAnsi="仿宋" w:eastAsia="仿宋" w:cs="仿宋"/>
                <w:color w:val="000000"/>
                <w:sz w:val="20"/>
                <w:szCs w:val="2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在应急厕所内设置</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在应急厕所内设置</w:t>
            </w:r>
          </w:p>
        </w:tc>
      </w:tr>
      <w:tr>
        <w:tblPrEx>
          <w:tblCellMar>
            <w:top w:w="0" w:type="dxa"/>
            <w:left w:w="108" w:type="dxa"/>
            <w:bottom w:w="0" w:type="dxa"/>
            <w:right w:w="108" w:type="dxa"/>
          </w:tblCellMar>
        </w:tblPrEx>
        <w:trPr>
          <w:trHeight w:val="296" w:hRule="atLeast"/>
          <w:jc w:val="center"/>
        </w:trPr>
        <w:tc>
          <w:tcPr>
            <w:tcW w:w="5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hint="eastAsia" w:ascii="仿宋" w:hAnsi="仿宋" w:eastAsia="仿宋" w:cs="仿宋"/>
                <w:color w:val="000000"/>
                <w:sz w:val="20"/>
                <w:szCs w:val="2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r>
      <w:tr>
        <w:tblPrEx>
          <w:tblCellMar>
            <w:top w:w="0" w:type="dxa"/>
            <w:left w:w="108" w:type="dxa"/>
            <w:bottom w:w="0" w:type="dxa"/>
            <w:right w:w="108" w:type="dxa"/>
          </w:tblCellMar>
        </w:tblPrEx>
        <w:trPr>
          <w:trHeight w:val="296" w:hRule="atLeast"/>
          <w:jc w:val="center"/>
        </w:trPr>
        <w:tc>
          <w:tcPr>
            <w:tcW w:w="8420" w:type="dxa"/>
            <w:gridSpan w:val="6"/>
            <w:tcBorders>
              <w:top w:val="nil"/>
              <w:left w:val="nil"/>
              <w:bottom w:val="single" w:color="auto" w:sz="4" w:space="0"/>
              <w:right w:val="nil"/>
            </w:tcBorders>
            <w:shd w:val="clear" w:color="auto" w:fill="auto"/>
            <w:noWrap/>
            <w:vAlign w:val="center"/>
          </w:tcPr>
          <w:p>
            <w:pPr>
              <w:widowControl/>
              <w:ind w:firstLine="442"/>
              <w:jc w:val="center"/>
              <w:textAlignment w:val="center"/>
              <w:rPr>
                <w:rFonts w:hint="eastAsia" w:ascii="仿宋" w:hAnsi="仿宋" w:eastAsia="仿宋" w:cs="仿宋"/>
                <w:color w:val="000000"/>
                <w:kern w:val="0"/>
                <w:sz w:val="18"/>
                <w:szCs w:val="20"/>
              </w:rPr>
            </w:pPr>
            <w:r>
              <w:rPr>
                <w:rFonts w:hint="eastAsia" w:ascii="仿宋" w:hAnsi="仿宋" w:eastAsia="仿宋" w:cs="仿宋"/>
                <w:b/>
                <w:bCs/>
                <w:color w:val="000000"/>
                <w:kern w:val="0"/>
                <w:sz w:val="20"/>
                <w:szCs w:val="20"/>
              </w:rPr>
              <w:t>临时避险绿地要求一览表</w:t>
            </w:r>
          </w:p>
        </w:tc>
      </w:tr>
      <w:tr>
        <w:tblPrEx>
          <w:tblCellMar>
            <w:top w:w="0" w:type="dxa"/>
            <w:left w:w="108" w:type="dxa"/>
            <w:bottom w:w="0" w:type="dxa"/>
            <w:right w:w="108" w:type="dxa"/>
          </w:tblCellMar>
        </w:tblPrEx>
        <w:trPr>
          <w:trHeight w:val="583" w:hRule="atLeast"/>
          <w:jc w:val="center"/>
        </w:trPr>
        <w:tc>
          <w:tcPr>
            <w:tcW w:w="4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类型</w:t>
            </w:r>
          </w:p>
        </w:tc>
        <w:tc>
          <w:tcPr>
            <w:tcW w:w="1233"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名称</w:t>
            </w:r>
          </w:p>
        </w:tc>
        <w:tc>
          <w:tcPr>
            <w:tcW w:w="7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设置与否</w:t>
            </w:r>
          </w:p>
        </w:tc>
        <w:tc>
          <w:tcPr>
            <w:tcW w:w="59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48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建设要求</w:t>
            </w:r>
          </w:p>
        </w:tc>
      </w:tr>
      <w:tr>
        <w:tblPrEx>
          <w:tblCellMar>
            <w:top w:w="0" w:type="dxa"/>
            <w:left w:w="108" w:type="dxa"/>
            <w:bottom w:w="0" w:type="dxa"/>
            <w:right w:w="108" w:type="dxa"/>
          </w:tblCellMar>
        </w:tblPrEx>
        <w:trPr>
          <w:trHeight w:val="583" w:hRule="atLeast"/>
          <w:jc w:val="center"/>
        </w:trPr>
        <w:tc>
          <w:tcPr>
            <w:tcW w:w="436"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基本配套设施</w:t>
            </w:r>
          </w:p>
        </w:tc>
        <w:tc>
          <w:tcPr>
            <w:tcW w:w="1233" w:type="dxa"/>
            <w:gridSpan w:val="3"/>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应急蓬宿区设施</w:t>
            </w:r>
          </w:p>
        </w:tc>
        <w:tc>
          <w:tcPr>
            <w:tcW w:w="773"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ind w:firstLine="48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r>
      <w:tr>
        <w:tblPrEx>
          <w:tblCellMar>
            <w:top w:w="0" w:type="dxa"/>
            <w:left w:w="108" w:type="dxa"/>
            <w:bottom w:w="0" w:type="dxa"/>
            <w:right w:w="108" w:type="dxa"/>
          </w:tblCellMar>
        </w:tblPrEx>
        <w:trPr>
          <w:trHeight w:val="870" w:hRule="atLeast"/>
          <w:jc w:val="center"/>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jc w:val="center"/>
              <w:rPr>
                <w:rFonts w:hint="eastAsia" w:ascii="仿宋" w:hAnsi="仿宋" w:eastAsia="仿宋" w:cs="仿宋"/>
                <w:color w:val="000000"/>
                <w:sz w:val="18"/>
                <w:szCs w:val="20"/>
              </w:rPr>
            </w:pPr>
          </w:p>
        </w:tc>
        <w:tc>
          <w:tcPr>
            <w:tcW w:w="12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医疗救护和卫生防疫设施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设置医疗救护与防疫站：对受伤灾民进行简单处理和包扎，提供基本的医疗救护，组织将伤员转治医疗服务中心，并负责本卫生防疫工作，预防瘟疫传播；占地大于等于100平方米，医疗服务中心利用就近医院解决；</w:t>
            </w:r>
          </w:p>
        </w:tc>
      </w:tr>
      <w:tr>
        <w:tblPrEx>
          <w:tblCellMar>
            <w:top w:w="0" w:type="dxa"/>
            <w:left w:w="108" w:type="dxa"/>
            <w:bottom w:w="0" w:type="dxa"/>
            <w:right w:w="108" w:type="dxa"/>
          </w:tblCellMar>
        </w:tblPrEx>
        <w:trPr>
          <w:trHeight w:val="1157" w:hRule="atLeast"/>
          <w:jc w:val="center"/>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jc w:val="center"/>
              <w:rPr>
                <w:rFonts w:hint="eastAsia" w:ascii="仿宋" w:hAnsi="仿宋" w:eastAsia="仿宋" w:cs="仿宋"/>
                <w:color w:val="000000"/>
                <w:sz w:val="18"/>
                <w:szCs w:val="20"/>
              </w:rPr>
            </w:pPr>
          </w:p>
        </w:tc>
        <w:tc>
          <w:tcPr>
            <w:tcW w:w="12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应急供水设施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一般二级避难场所储备5天饮用水量，用水标准为50升/人/天，其中饮用水为3升/人/天，饮水点设置于上风口和蓬宿区的下方位位置，按100人设置一个水龙头，两百人应设置一处饮水点，饮水点之间距离不大于500米；</w:t>
            </w:r>
          </w:p>
        </w:tc>
      </w:tr>
      <w:tr>
        <w:tblPrEx>
          <w:tblCellMar>
            <w:top w:w="0" w:type="dxa"/>
            <w:left w:w="108" w:type="dxa"/>
            <w:bottom w:w="0" w:type="dxa"/>
            <w:right w:w="108" w:type="dxa"/>
          </w:tblCellMar>
        </w:tblPrEx>
        <w:trPr>
          <w:trHeight w:val="870" w:hRule="atLeast"/>
          <w:jc w:val="center"/>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jc w:val="center"/>
              <w:rPr>
                <w:rFonts w:hint="eastAsia" w:ascii="仿宋" w:hAnsi="仿宋" w:eastAsia="仿宋" w:cs="仿宋"/>
                <w:color w:val="000000"/>
                <w:sz w:val="18"/>
                <w:szCs w:val="20"/>
              </w:rPr>
            </w:pPr>
          </w:p>
        </w:tc>
        <w:tc>
          <w:tcPr>
            <w:tcW w:w="12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应急供电设施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每个避难场所均需考虑接入2路或以上的供电电路线以保证避难场所的用电需求，有条件的可考虑便携式发电机组并储存有燃料，应急供电需要保障照明，医疗、通讯、通风等设施用电；</w:t>
            </w:r>
          </w:p>
        </w:tc>
      </w:tr>
      <w:tr>
        <w:tblPrEx>
          <w:tblCellMar>
            <w:top w:w="0" w:type="dxa"/>
            <w:left w:w="108" w:type="dxa"/>
            <w:bottom w:w="0" w:type="dxa"/>
            <w:right w:w="108" w:type="dxa"/>
          </w:tblCellMar>
        </w:tblPrEx>
        <w:trPr>
          <w:trHeight w:val="1444" w:hRule="atLeast"/>
          <w:jc w:val="center"/>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jc w:val="center"/>
              <w:rPr>
                <w:rFonts w:hint="eastAsia" w:ascii="仿宋" w:hAnsi="仿宋" w:eastAsia="仿宋" w:cs="仿宋"/>
                <w:color w:val="000000"/>
                <w:sz w:val="18"/>
                <w:szCs w:val="20"/>
              </w:rPr>
            </w:pPr>
          </w:p>
        </w:tc>
        <w:tc>
          <w:tcPr>
            <w:tcW w:w="12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应急厕所</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可与洗漱间合设：按每1000人设置一处公共厕所或可移动临时公厕，间距不小于300米，设置于下风口，且远离蓬宿区30米以上，但不远于50米，也可预留移动厕所布置空间，灾害发生后根据需要配设，建议要求：单独公厕占地面积大于等于20平方米，设置十个蹲位，与洗漱间合设占地面积大于等于50平方米；</w:t>
            </w:r>
          </w:p>
        </w:tc>
      </w:tr>
      <w:tr>
        <w:tblPrEx>
          <w:tblCellMar>
            <w:top w:w="0" w:type="dxa"/>
            <w:left w:w="108" w:type="dxa"/>
            <w:bottom w:w="0" w:type="dxa"/>
            <w:right w:w="108" w:type="dxa"/>
          </w:tblCellMar>
        </w:tblPrEx>
        <w:trPr>
          <w:trHeight w:val="583" w:hRule="atLeast"/>
          <w:jc w:val="center"/>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jc w:val="center"/>
              <w:rPr>
                <w:rFonts w:hint="eastAsia" w:ascii="仿宋" w:hAnsi="仿宋" w:eastAsia="仿宋" w:cs="仿宋"/>
                <w:color w:val="000000"/>
                <w:sz w:val="18"/>
                <w:szCs w:val="20"/>
              </w:rPr>
            </w:pPr>
          </w:p>
        </w:tc>
        <w:tc>
          <w:tcPr>
            <w:tcW w:w="12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应急通讯设施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设置固定电话，按每一百人设置一门固定电话，或电话接口；</w:t>
            </w:r>
          </w:p>
        </w:tc>
      </w:tr>
      <w:tr>
        <w:tblPrEx>
          <w:tblCellMar>
            <w:top w:w="0" w:type="dxa"/>
            <w:left w:w="108" w:type="dxa"/>
            <w:bottom w:w="0" w:type="dxa"/>
            <w:right w:w="108" w:type="dxa"/>
          </w:tblCellMar>
        </w:tblPrEx>
        <w:trPr>
          <w:trHeight w:val="583" w:hRule="atLeast"/>
          <w:jc w:val="center"/>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jc w:val="center"/>
              <w:rPr>
                <w:rFonts w:hint="eastAsia" w:ascii="仿宋" w:hAnsi="仿宋" w:eastAsia="仿宋" w:cs="仿宋"/>
                <w:color w:val="000000"/>
                <w:sz w:val="18"/>
                <w:szCs w:val="20"/>
              </w:rPr>
            </w:pPr>
          </w:p>
        </w:tc>
        <w:tc>
          <w:tcPr>
            <w:tcW w:w="12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应急排污系统设施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设置独立的排污系统；</w:t>
            </w:r>
          </w:p>
        </w:tc>
      </w:tr>
      <w:tr>
        <w:tblPrEx>
          <w:tblCellMar>
            <w:top w:w="0" w:type="dxa"/>
            <w:left w:w="108" w:type="dxa"/>
            <w:bottom w:w="0" w:type="dxa"/>
            <w:right w:w="108" w:type="dxa"/>
          </w:tblCellMar>
        </w:tblPrEx>
        <w:trPr>
          <w:trHeight w:val="583" w:hRule="atLeast"/>
          <w:jc w:val="center"/>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jc w:val="center"/>
              <w:rPr>
                <w:rFonts w:hint="eastAsia" w:ascii="仿宋" w:hAnsi="仿宋" w:eastAsia="仿宋" w:cs="仿宋"/>
                <w:color w:val="000000"/>
                <w:sz w:val="18"/>
                <w:szCs w:val="20"/>
              </w:rPr>
            </w:pPr>
          </w:p>
        </w:tc>
        <w:tc>
          <w:tcPr>
            <w:tcW w:w="12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应急垃圾储运设施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垃圾收集点服务半径70米；</w:t>
            </w:r>
          </w:p>
        </w:tc>
      </w:tr>
      <w:tr>
        <w:tblPrEx>
          <w:tblCellMar>
            <w:top w:w="0" w:type="dxa"/>
            <w:left w:w="108" w:type="dxa"/>
            <w:bottom w:w="0" w:type="dxa"/>
            <w:right w:w="108" w:type="dxa"/>
          </w:tblCellMar>
        </w:tblPrEx>
        <w:trPr>
          <w:trHeight w:val="296" w:hRule="atLeast"/>
          <w:jc w:val="center"/>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jc w:val="center"/>
              <w:rPr>
                <w:rFonts w:hint="eastAsia" w:ascii="仿宋" w:hAnsi="仿宋" w:eastAsia="仿宋" w:cs="仿宋"/>
                <w:color w:val="000000"/>
                <w:sz w:val="18"/>
                <w:szCs w:val="20"/>
              </w:rPr>
            </w:pPr>
          </w:p>
        </w:tc>
        <w:tc>
          <w:tcPr>
            <w:tcW w:w="12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应急通道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r>
      <w:tr>
        <w:tblPrEx>
          <w:tblCellMar>
            <w:top w:w="0" w:type="dxa"/>
            <w:left w:w="108" w:type="dxa"/>
            <w:bottom w:w="0" w:type="dxa"/>
            <w:right w:w="108" w:type="dxa"/>
          </w:tblCellMar>
        </w:tblPrEx>
        <w:trPr>
          <w:trHeight w:val="583" w:hRule="atLeast"/>
          <w:jc w:val="center"/>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jc w:val="center"/>
              <w:rPr>
                <w:rFonts w:hint="eastAsia" w:ascii="仿宋" w:hAnsi="仿宋" w:eastAsia="仿宋" w:cs="仿宋"/>
                <w:color w:val="000000"/>
                <w:sz w:val="18"/>
                <w:szCs w:val="20"/>
              </w:rPr>
            </w:pPr>
          </w:p>
        </w:tc>
        <w:tc>
          <w:tcPr>
            <w:tcW w:w="12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应急标志</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在避难场所入口处，个功能分区和周边设置指示标志并且入口处悬挂1:500的应急避难场所平面图及周围地区居民疏散通道图；</w:t>
            </w:r>
          </w:p>
        </w:tc>
      </w:tr>
      <w:tr>
        <w:tblPrEx>
          <w:tblCellMar>
            <w:top w:w="0" w:type="dxa"/>
            <w:left w:w="108" w:type="dxa"/>
            <w:bottom w:w="0" w:type="dxa"/>
            <w:right w:w="108" w:type="dxa"/>
          </w:tblCellMar>
        </w:tblPrEx>
        <w:trPr>
          <w:trHeight w:val="296" w:hRule="atLeast"/>
          <w:jc w:val="center"/>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jc w:val="center"/>
              <w:rPr>
                <w:rFonts w:hint="eastAsia" w:ascii="仿宋" w:hAnsi="仿宋" w:eastAsia="仿宋" w:cs="仿宋"/>
                <w:color w:val="000000"/>
                <w:sz w:val="18"/>
                <w:szCs w:val="20"/>
              </w:rPr>
            </w:pPr>
          </w:p>
        </w:tc>
        <w:tc>
          <w:tcPr>
            <w:tcW w:w="12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集散场地</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大于等于500平方米，作为临时停车场，人员集散和物质发放场地；</w:t>
            </w:r>
          </w:p>
        </w:tc>
      </w:tr>
      <w:tr>
        <w:tblPrEx>
          <w:tblCellMar>
            <w:top w:w="0" w:type="dxa"/>
            <w:left w:w="108" w:type="dxa"/>
            <w:bottom w:w="0" w:type="dxa"/>
            <w:right w:w="108" w:type="dxa"/>
          </w:tblCellMar>
        </w:tblPrEx>
        <w:trPr>
          <w:trHeight w:val="583" w:hRule="atLeast"/>
          <w:jc w:val="center"/>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一般设施</w:t>
            </w:r>
          </w:p>
        </w:tc>
        <w:tc>
          <w:tcPr>
            <w:tcW w:w="12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应急消防设施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设置消防栓，且间距不超过120米；</w:t>
            </w:r>
          </w:p>
        </w:tc>
      </w:tr>
      <w:tr>
        <w:tblPrEx>
          <w:tblCellMar>
            <w:top w:w="0" w:type="dxa"/>
            <w:left w:w="108" w:type="dxa"/>
            <w:bottom w:w="0" w:type="dxa"/>
            <w:right w:w="108" w:type="dxa"/>
          </w:tblCellMar>
        </w:tblPrEx>
        <w:trPr>
          <w:trHeight w:val="583" w:hRule="atLeast"/>
          <w:jc w:val="center"/>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80"/>
              <w:jc w:val="center"/>
              <w:rPr>
                <w:rFonts w:hint="eastAsia" w:ascii="仿宋" w:hAnsi="仿宋" w:eastAsia="仿宋" w:cs="仿宋"/>
                <w:color w:val="000000"/>
                <w:sz w:val="18"/>
                <w:szCs w:val="20"/>
              </w:rPr>
            </w:pPr>
          </w:p>
        </w:tc>
        <w:tc>
          <w:tcPr>
            <w:tcW w:w="12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应急指挥管理设施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设置应急服务中心，组织灾民有序安置，物资收集与分配，与外界取得联系等功能，占地大于等于50平方米；</w:t>
            </w:r>
          </w:p>
        </w:tc>
      </w:tr>
      <w:tr>
        <w:tblPrEx>
          <w:tblCellMar>
            <w:top w:w="0" w:type="dxa"/>
            <w:left w:w="108" w:type="dxa"/>
            <w:bottom w:w="0" w:type="dxa"/>
            <w:right w:w="108" w:type="dxa"/>
          </w:tblCellMar>
        </w:tblPrEx>
        <w:trPr>
          <w:trHeight w:val="296" w:hRule="atLeast"/>
          <w:jc w:val="center"/>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综合设施</w:t>
            </w:r>
          </w:p>
        </w:tc>
        <w:tc>
          <w:tcPr>
            <w:tcW w:w="12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应急停车场</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结合集散场地设施</w:t>
            </w:r>
          </w:p>
        </w:tc>
      </w:tr>
      <w:tr>
        <w:tblPrEx>
          <w:tblCellMar>
            <w:top w:w="0" w:type="dxa"/>
            <w:left w:w="108" w:type="dxa"/>
            <w:bottom w:w="0" w:type="dxa"/>
            <w:right w:w="108" w:type="dxa"/>
          </w:tblCellMar>
        </w:tblPrEx>
        <w:trPr>
          <w:trHeight w:val="296" w:hRule="atLeast"/>
          <w:jc w:val="center"/>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80"/>
              <w:jc w:val="center"/>
              <w:rPr>
                <w:rFonts w:hint="eastAsia" w:ascii="仿宋" w:hAnsi="仿宋" w:eastAsia="仿宋" w:cs="仿宋"/>
                <w:color w:val="000000"/>
                <w:sz w:val="18"/>
                <w:szCs w:val="20"/>
              </w:rPr>
            </w:pPr>
          </w:p>
        </w:tc>
        <w:tc>
          <w:tcPr>
            <w:tcW w:w="12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应急停机坪</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r>
      <w:tr>
        <w:tblPrEx>
          <w:tblCellMar>
            <w:top w:w="0" w:type="dxa"/>
            <w:left w:w="108" w:type="dxa"/>
            <w:bottom w:w="0" w:type="dxa"/>
            <w:right w:w="108" w:type="dxa"/>
          </w:tblCellMar>
        </w:tblPrEx>
        <w:trPr>
          <w:trHeight w:val="583" w:hRule="atLeast"/>
          <w:jc w:val="center"/>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80"/>
              <w:jc w:val="center"/>
              <w:rPr>
                <w:rFonts w:hint="eastAsia" w:ascii="仿宋" w:hAnsi="仿宋" w:eastAsia="仿宋" w:cs="仿宋"/>
                <w:color w:val="000000"/>
                <w:sz w:val="18"/>
                <w:szCs w:val="20"/>
              </w:rPr>
            </w:pPr>
          </w:p>
        </w:tc>
        <w:tc>
          <w:tcPr>
            <w:tcW w:w="12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应急洗浴设施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结合应急厕所设置</w:t>
            </w:r>
          </w:p>
        </w:tc>
      </w:tr>
      <w:tr>
        <w:tblPrEx>
          <w:tblCellMar>
            <w:top w:w="0" w:type="dxa"/>
            <w:left w:w="108" w:type="dxa"/>
            <w:bottom w:w="0" w:type="dxa"/>
            <w:right w:w="108" w:type="dxa"/>
          </w:tblCellMar>
        </w:tblPrEx>
        <w:trPr>
          <w:trHeight w:val="583" w:hRule="atLeast"/>
          <w:jc w:val="center"/>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80"/>
              <w:jc w:val="center"/>
              <w:rPr>
                <w:rFonts w:hint="eastAsia" w:ascii="仿宋" w:hAnsi="仿宋" w:eastAsia="仿宋" w:cs="仿宋"/>
                <w:color w:val="000000"/>
                <w:sz w:val="18"/>
                <w:szCs w:val="20"/>
              </w:rPr>
            </w:pPr>
          </w:p>
        </w:tc>
        <w:tc>
          <w:tcPr>
            <w:tcW w:w="12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应急功能介绍设施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8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r>
      <w:tr>
        <w:tblPrEx>
          <w:tblCellMar>
            <w:top w:w="0" w:type="dxa"/>
            <w:left w:w="108" w:type="dxa"/>
            <w:bottom w:w="0" w:type="dxa"/>
            <w:right w:w="108" w:type="dxa"/>
          </w:tblCellMar>
        </w:tblPrEx>
        <w:trPr>
          <w:trHeight w:val="296" w:hRule="atLeast"/>
          <w:jc w:val="center"/>
        </w:trPr>
        <w:tc>
          <w:tcPr>
            <w:tcW w:w="8420" w:type="dxa"/>
            <w:gridSpan w:val="6"/>
            <w:tcBorders>
              <w:top w:val="nil"/>
              <w:left w:val="nil"/>
              <w:bottom w:val="single" w:color="auto" w:sz="4" w:space="0"/>
              <w:right w:val="nil"/>
            </w:tcBorders>
            <w:shd w:val="clear" w:color="auto" w:fill="auto"/>
            <w:noWrap/>
            <w:vAlign w:val="center"/>
          </w:tcPr>
          <w:p>
            <w:pPr>
              <w:widowControl/>
              <w:ind w:firstLine="442"/>
              <w:jc w:val="center"/>
              <w:textAlignment w:val="center"/>
              <w:rPr>
                <w:rFonts w:hint="eastAsia" w:ascii="仿宋" w:hAnsi="仿宋" w:eastAsia="仿宋" w:cs="仿宋"/>
                <w:color w:val="000000"/>
                <w:kern w:val="0"/>
                <w:sz w:val="18"/>
                <w:szCs w:val="20"/>
              </w:rPr>
            </w:pPr>
            <w:r>
              <w:rPr>
                <w:rFonts w:hint="eastAsia" w:ascii="仿宋" w:hAnsi="仿宋" w:eastAsia="仿宋" w:cs="仿宋"/>
                <w:b/>
                <w:bCs/>
                <w:color w:val="000000"/>
                <w:kern w:val="0"/>
                <w:sz w:val="20"/>
                <w:szCs w:val="20"/>
              </w:rPr>
              <w:t>紧急避险绿地要求一览表</w:t>
            </w:r>
          </w:p>
        </w:tc>
      </w:tr>
      <w:tr>
        <w:tblPrEx>
          <w:tblCellMar>
            <w:top w:w="0" w:type="dxa"/>
            <w:left w:w="108" w:type="dxa"/>
            <w:bottom w:w="0" w:type="dxa"/>
            <w:right w:w="108" w:type="dxa"/>
          </w:tblCellMar>
        </w:tblPrEx>
        <w:trPr>
          <w:trHeight w:val="583" w:hRule="atLeast"/>
          <w:jc w:val="center"/>
        </w:trPr>
        <w:tc>
          <w:tcPr>
            <w:tcW w:w="45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类型</w:t>
            </w:r>
          </w:p>
        </w:tc>
        <w:tc>
          <w:tcPr>
            <w:tcW w:w="121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名称</w:t>
            </w:r>
          </w:p>
        </w:tc>
        <w:tc>
          <w:tcPr>
            <w:tcW w:w="7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设置与否</w:t>
            </w:r>
          </w:p>
        </w:tc>
        <w:tc>
          <w:tcPr>
            <w:tcW w:w="59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48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建议要求</w:t>
            </w:r>
          </w:p>
        </w:tc>
      </w:tr>
      <w:tr>
        <w:tblPrEx>
          <w:tblCellMar>
            <w:top w:w="0" w:type="dxa"/>
            <w:left w:w="108" w:type="dxa"/>
            <w:bottom w:w="0" w:type="dxa"/>
            <w:right w:w="108" w:type="dxa"/>
          </w:tblCellMar>
        </w:tblPrEx>
        <w:trPr>
          <w:trHeight w:val="583" w:hRule="atLeast"/>
          <w:jc w:val="center"/>
        </w:trPr>
        <w:tc>
          <w:tcPr>
            <w:tcW w:w="452" w:type="dxa"/>
            <w:gridSpan w:val="2"/>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基本配套设施</w:t>
            </w:r>
          </w:p>
        </w:tc>
        <w:tc>
          <w:tcPr>
            <w:tcW w:w="1217"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应急供水设施</w:t>
            </w:r>
          </w:p>
        </w:tc>
        <w:tc>
          <w:tcPr>
            <w:tcW w:w="773"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按100人设置一个水龙头，200人设置一处饮水点</w:t>
            </w:r>
          </w:p>
        </w:tc>
      </w:tr>
      <w:tr>
        <w:tblPrEx>
          <w:tblCellMar>
            <w:top w:w="0" w:type="dxa"/>
            <w:left w:w="108" w:type="dxa"/>
            <w:bottom w:w="0" w:type="dxa"/>
            <w:right w:w="108" w:type="dxa"/>
          </w:tblCellMar>
        </w:tblPrEx>
        <w:trPr>
          <w:trHeight w:val="583" w:hRule="atLeast"/>
          <w:jc w:val="center"/>
        </w:trPr>
        <w:tc>
          <w:tcPr>
            <w:tcW w:w="45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80"/>
              <w:jc w:val="center"/>
              <w:rPr>
                <w:rFonts w:hint="eastAsia" w:ascii="仿宋" w:hAnsi="仿宋" w:eastAsia="仿宋" w:cs="仿宋"/>
                <w:color w:val="000000"/>
                <w:sz w:val="18"/>
                <w:szCs w:val="20"/>
              </w:rPr>
            </w:pPr>
          </w:p>
        </w:tc>
        <w:tc>
          <w:tcPr>
            <w:tcW w:w="121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应急供电设施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8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r>
      <w:tr>
        <w:tblPrEx>
          <w:tblCellMar>
            <w:top w:w="0" w:type="dxa"/>
            <w:left w:w="108" w:type="dxa"/>
            <w:bottom w:w="0" w:type="dxa"/>
            <w:right w:w="108" w:type="dxa"/>
          </w:tblCellMar>
        </w:tblPrEx>
        <w:trPr>
          <w:trHeight w:val="583" w:hRule="atLeast"/>
          <w:jc w:val="center"/>
        </w:trPr>
        <w:tc>
          <w:tcPr>
            <w:tcW w:w="45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80"/>
              <w:jc w:val="center"/>
              <w:rPr>
                <w:rFonts w:hint="eastAsia" w:ascii="仿宋" w:hAnsi="仿宋" w:eastAsia="仿宋" w:cs="仿宋"/>
                <w:color w:val="000000"/>
                <w:sz w:val="18"/>
                <w:szCs w:val="20"/>
              </w:rPr>
            </w:pPr>
          </w:p>
        </w:tc>
        <w:tc>
          <w:tcPr>
            <w:tcW w:w="121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应急通讯设施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使无线信号覆盖避难场所，公共信息发布牌：按每100人设置一部公用电话，预留端口，也可以采用电话亭的形式；</w:t>
            </w:r>
          </w:p>
        </w:tc>
      </w:tr>
      <w:tr>
        <w:tblPrEx>
          <w:tblCellMar>
            <w:top w:w="0" w:type="dxa"/>
            <w:left w:w="108" w:type="dxa"/>
            <w:bottom w:w="0" w:type="dxa"/>
            <w:right w:w="108" w:type="dxa"/>
          </w:tblCellMar>
        </w:tblPrEx>
        <w:trPr>
          <w:trHeight w:val="583" w:hRule="atLeast"/>
          <w:jc w:val="center"/>
        </w:trPr>
        <w:tc>
          <w:tcPr>
            <w:tcW w:w="45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80"/>
              <w:jc w:val="center"/>
              <w:rPr>
                <w:rFonts w:hint="eastAsia" w:ascii="仿宋" w:hAnsi="仿宋" w:eastAsia="仿宋" w:cs="仿宋"/>
                <w:color w:val="000000"/>
                <w:sz w:val="18"/>
                <w:szCs w:val="20"/>
              </w:rPr>
            </w:pPr>
          </w:p>
        </w:tc>
        <w:tc>
          <w:tcPr>
            <w:tcW w:w="121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应急排污系统设施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r>
      <w:tr>
        <w:tblPrEx>
          <w:tblCellMar>
            <w:top w:w="0" w:type="dxa"/>
            <w:left w:w="108" w:type="dxa"/>
            <w:bottom w:w="0" w:type="dxa"/>
            <w:right w:w="108" w:type="dxa"/>
          </w:tblCellMar>
        </w:tblPrEx>
        <w:trPr>
          <w:trHeight w:val="296" w:hRule="atLeast"/>
          <w:jc w:val="center"/>
        </w:trPr>
        <w:tc>
          <w:tcPr>
            <w:tcW w:w="45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80"/>
              <w:jc w:val="center"/>
              <w:rPr>
                <w:rFonts w:hint="eastAsia" w:ascii="仿宋" w:hAnsi="仿宋" w:eastAsia="仿宋" w:cs="仿宋"/>
                <w:color w:val="000000"/>
                <w:sz w:val="18"/>
                <w:szCs w:val="20"/>
              </w:rPr>
            </w:pPr>
          </w:p>
        </w:tc>
        <w:tc>
          <w:tcPr>
            <w:tcW w:w="121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应急厕所</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单独公厕占地面积大于等于20平方米，设十个蹲位</w:t>
            </w:r>
          </w:p>
        </w:tc>
      </w:tr>
      <w:tr>
        <w:tblPrEx>
          <w:tblCellMar>
            <w:top w:w="0" w:type="dxa"/>
            <w:left w:w="108" w:type="dxa"/>
            <w:bottom w:w="0" w:type="dxa"/>
            <w:right w:w="108" w:type="dxa"/>
          </w:tblCellMar>
        </w:tblPrEx>
        <w:trPr>
          <w:trHeight w:val="583" w:hRule="atLeast"/>
          <w:jc w:val="center"/>
        </w:trPr>
        <w:tc>
          <w:tcPr>
            <w:tcW w:w="45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80"/>
              <w:jc w:val="center"/>
              <w:rPr>
                <w:rFonts w:hint="eastAsia" w:ascii="仿宋" w:hAnsi="仿宋" w:eastAsia="仿宋" w:cs="仿宋"/>
                <w:color w:val="000000"/>
                <w:sz w:val="18"/>
                <w:szCs w:val="20"/>
              </w:rPr>
            </w:pPr>
          </w:p>
        </w:tc>
        <w:tc>
          <w:tcPr>
            <w:tcW w:w="121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应急垃圾储运设施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垃圾收集点服务半径70米；</w:t>
            </w:r>
          </w:p>
        </w:tc>
      </w:tr>
      <w:tr>
        <w:tblPrEx>
          <w:tblCellMar>
            <w:top w:w="0" w:type="dxa"/>
            <w:left w:w="108" w:type="dxa"/>
            <w:bottom w:w="0" w:type="dxa"/>
            <w:right w:w="108" w:type="dxa"/>
          </w:tblCellMar>
        </w:tblPrEx>
        <w:trPr>
          <w:trHeight w:val="296" w:hRule="atLeast"/>
          <w:jc w:val="center"/>
        </w:trPr>
        <w:tc>
          <w:tcPr>
            <w:tcW w:w="45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80"/>
              <w:jc w:val="center"/>
              <w:rPr>
                <w:rFonts w:hint="eastAsia" w:ascii="仿宋" w:hAnsi="仿宋" w:eastAsia="仿宋" w:cs="仿宋"/>
                <w:color w:val="000000"/>
                <w:sz w:val="18"/>
                <w:szCs w:val="20"/>
              </w:rPr>
            </w:pPr>
          </w:p>
        </w:tc>
        <w:tc>
          <w:tcPr>
            <w:tcW w:w="121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应急通道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r>
      <w:tr>
        <w:tblPrEx>
          <w:tblCellMar>
            <w:top w:w="0" w:type="dxa"/>
            <w:left w:w="108" w:type="dxa"/>
            <w:bottom w:w="0" w:type="dxa"/>
            <w:right w:w="108" w:type="dxa"/>
          </w:tblCellMar>
        </w:tblPrEx>
        <w:trPr>
          <w:trHeight w:val="583" w:hRule="atLeast"/>
          <w:jc w:val="center"/>
        </w:trPr>
        <w:tc>
          <w:tcPr>
            <w:tcW w:w="45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80"/>
              <w:jc w:val="center"/>
              <w:rPr>
                <w:rFonts w:hint="eastAsia" w:ascii="仿宋" w:hAnsi="仿宋" w:eastAsia="仿宋" w:cs="仿宋"/>
                <w:color w:val="000000"/>
                <w:sz w:val="18"/>
                <w:szCs w:val="20"/>
              </w:rPr>
            </w:pPr>
          </w:p>
        </w:tc>
        <w:tc>
          <w:tcPr>
            <w:tcW w:w="121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应急标志</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在避难场所入口处，个功能分区和周边设置指示标志并且入口处悬挂1:500的应急避难场所平面图及周围地区居民疏散通道图；</w:t>
            </w:r>
          </w:p>
        </w:tc>
      </w:tr>
      <w:tr>
        <w:tblPrEx>
          <w:tblCellMar>
            <w:top w:w="0" w:type="dxa"/>
            <w:left w:w="108" w:type="dxa"/>
            <w:bottom w:w="0" w:type="dxa"/>
            <w:right w:w="108" w:type="dxa"/>
          </w:tblCellMar>
        </w:tblPrEx>
        <w:trPr>
          <w:trHeight w:val="296" w:hRule="atLeast"/>
          <w:jc w:val="center"/>
        </w:trPr>
        <w:tc>
          <w:tcPr>
            <w:tcW w:w="45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80"/>
              <w:jc w:val="center"/>
              <w:rPr>
                <w:rFonts w:hint="eastAsia" w:ascii="仿宋" w:hAnsi="仿宋" w:eastAsia="仿宋" w:cs="仿宋"/>
                <w:color w:val="000000"/>
                <w:sz w:val="18"/>
                <w:szCs w:val="20"/>
              </w:rPr>
            </w:pPr>
          </w:p>
        </w:tc>
        <w:tc>
          <w:tcPr>
            <w:tcW w:w="121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集散场地</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大于等于300平方米，作为临时停车场所集散和物资发放场地</w:t>
            </w:r>
          </w:p>
        </w:tc>
      </w:tr>
      <w:tr>
        <w:tblPrEx>
          <w:tblCellMar>
            <w:top w:w="0" w:type="dxa"/>
            <w:left w:w="108" w:type="dxa"/>
            <w:bottom w:w="0" w:type="dxa"/>
            <w:right w:w="108" w:type="dxa"/>
          </w:tblCellMar>
        </w:tblPrEx>
        <w:trPr>
          <w:trHeight w:val="1166" w:hRule="atLeast"/>
          <w:jc w:val="center"/>
        </w:trPr>
        <w:tc>
          <w:tcPr>
            <w:tcW w:w="45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一般设施</w:t>
            </w:r>
          </w:p>
        </w:tc>
        <w:tc>
          <w:tcPr>
            <w:tcW w:w="121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应急消防设施</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sz w:val="18"/>
                <w:szCs w:val="20"/>
              </w:rPr>
            </w:pPr>
            <w:r>
              <w:rPr>
                <w:rFonts w:hint="eastAsia" w:ascii="仿宋" w:hAnsi="仿宋" w:eastAsia="仿宋" w:cs="仿宋"/>
                <w:color w:val="000000"/>
                <w:kern w:val="0"/>
                <w:sz w:val="18"/>
                <w:szCs w:val="20"/>
              </w:rPr>
              <w:t>设置消防栓，且间距不超过120米；</w:t>
            </w:r>
          </w:p>
        </w:tc>
      </w:tr>
    </w:tbl>
    <w:p>
      <w:r>
        <w:br w:type="page"/>
      </w:r>
    </w:p>
    <w:p>
      <w:pPr>
        <w:pStyle w:val="2"/>
        <w:ind w:left="0" w:leftChars="0" w:firstLine="0" w:firstLineChars="0"/>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-278130</wp:posOffset>
            </wp:positionH>
            <wp:positionV relativeFrom="paragraph">
              <wp:posOffset>61595</wp:posOffset>
            </wp:positionV>
            <wp:extent cx="6159500" cy="8710930"/>
            <wp:effectExtent l="0" t="0" r="12700" b="13970"/>
            <wp:wrapSquare wrapText="bothSides"/>
            <wp:docPr id="1" name="图片 1" descr="11中心城区防灾避险结构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中心城区防灾避险结构规划图"/>
                    <pic:cNvPicPr>
                      <a:picLocks noChangeAspect="1"/>
                    </pic:cNvPicPr>
                  </pic:nvPicPr>
                  <pic:blipFill>
                    <a:blip r:embed="rId4"/>
                    <a:stretch>
                      <a:fillRect/>
                    </a:stretch>
                  </pic:blipFill>
                  <pic:spPr>
                    <a:xfrm>
                      <a:off x="0" y="0"/>
                      <a:ext cx="6159500" cy="8710930"/>
                    </a:xfrm>
                    <a:prstGeom prst="rect">
                      <a:avLst/>
                    </a:prstGeom>
                  </pic:spPr>
                </pic:pic>
              </a:graphicData>
            </a:graphic>
          </wp:anchor>
        </w:drawing>
      </w:r>
    </w:p>
    <w:p>
      <w:pPr>
        <w:rPr>
          <w:rFonts w:hint="eastAsia" w:eastAsia="宋体"/>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-498475</wp:posOffset>
            </wp:positionH>
            <wp:positionV relativeFrom="paragraph">
              <wp:posOffset>101600</wp:posOffset>
            </wp:positionV>
            <wp:extent cx="6184265" cy="8746490"/>
            <wp:effectExtent l="0" t="0" r="6985" b="16510"/>
            <wp:wrapSquare wrapText="bothSides"/>
            <wp:docPr id="2" name="图片 2" descr="12中心城区绿地系统防灾避险规划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中心城区绿地系统防灾避险规划布局图"/>
                    <pic:cNvPicPr>
                      <a:picLocks noChangeAspect="1"/>
                    </pic:cNvPicPr>
                  </pic:nvPicPr>
                  <pic:blipFill>
                    <a:blip r:embed="rId5"/>
                    <a:stretch>
                      <a:fillRect/>
                    </a:stretch>
                  </pic:blipFill>
                  <pic:spPr>
                    <a:xfrm>
                      <a:off x="0" y="0"/>
                      <a:ext cx="6184265" cy="8746490"/>
                    </a:xfrm>
                    <a:prstGeom prst="rect">
                      <a:avLst/>
                    </a:prstGeom>
                  </pic:spPr>
                </pic:pic>
              </a:graphicData>
            </a:graphic>
          </wp:anchor>
        </w:drawing>
      </w:r>
      <w:r>
        <w:rPr>
          <w:rFonts w:hint="eastAsia" w:eastAsia="宋体"/>
          <w:lang w:eastAsia="zh-CN"/>
        </w:rPr>
        <w:br w:type="page"/>
      </w:r>
    </w:p>
    <w:p>
      <w:pPr>
        <w:rPr>
          <w:rFonts w:hint="eastAsia" w:eastAsia="宋体"/>
          <w:lang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-379730</wp:posOffset>
            </wp:positionH>
            <wp:positionV relativeFrom="paragraph">
              <wp:posOffset>97155</wp:posOffset>
            </wp:positionV>
            <wp:extent cx="6112510" cy="8644255"/>
            <wp:effectExtent l="0" t="0" r="2540" b="4445"/>
            <wp:wrapSquare wrapText="bothSides"/>
            <wp:docPr id="3" name="图片 3" descr="13中心城区绿地系统防灾避险规划布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中心城区绿地系统防灾避险规划布点图"/>
                    <pic:cNvPicPr>
                      <a:picLocks noChangeAspect="1"/>
                    </pic:cNvPicPr>
                  </pic:nvPicPr>
                  <pic:blipFill>
                    <a:blip r:embed="rId6"/>
                    <a:stretch>
                      <a:fillRect/>
                    </a:stretch>
                  </pic:blipFill>
                  <pic:spPr>
                    <a:xfrm>
                      <a:off x="0" y="0"/>
                      <a:ext cx="6112510" cy="8644255"/>
                    </a:xfrm>
                    <a:prstGeom prst="rect">
                      <a:avLst/>
                    </a:prstGeom>
                  </pic:spPr>
                </pic:pic>
              </a:graphicData>
            </a:graphic>
          </wp:anchor>
        </w:drawing>
      </w:r>
      <w:r>
        <w:rPr>
          <w:rFonts w:hint="eastAsia" w:eastAsia="宋体"/>
          <w:lang w:eastAsia="zh-CN"/>
        </w:rPr>
        <w:br w:type="page"/>
      </w:r>
    </w:p>
    <w:p>
      <w:pPr>
        <w:pStyle w:val="2"/>
        <w:ind w:left="0" w:leftChars="0" w:firstLine="0" w:firstLineChars="0"/>
        <w:rPr>
          <w:rFonts w:hint="eastAsia" w:eastAsia="宋体"/>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-421640</wp:posOffset>
            </wp:positionH>
            <wp:positionV relativeFrom="paragraph">
              <wp:posOffset>86360</wp:posOffset>
            </wp:positionV>
            <wp:extent cx="6126480" cy="8665210"/>
            <wp:effectExtent l="0" t="0" r="7620" b="2540"/>
            <wp:wrapSquare wrapText="bothSides"/>
            <wp:docPr id="4" name="图片 4" descr="14中心城区绿色疏散通道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中心城区绿色疏散通道规划图"/>
                    <pic:cNvPicPr>
                      <a:picLocks noChangeAspect="1"/>
                    </pic:cNvPicPr>
                  </pic:nvPicPr>
                  <pic:blipFill>
                    <a:blip r:embed="rId7"/>
                    <a:stretch>
                      <a:fillRect/>
                    </a:stretch>
                  </pic:blipFill>
                  <pic:spPr>
                    <a:xfrm>
                      <a:off x="0" y="0"/>
                      <a:ext cx="6126480" cy="8665210"/>
                    </a:xfrm>
                    <a:prstGeom prst="rect">
                      <a:avLst/>
                    </a:prstGeom>
                  </pic:spPr>
                </pic:pic>
              </a:graphicData>
            </a:graphic>
          </wp:anchor>
        </w:drawing>
      </w:r>
    </w:p>
    <w:p>
      <w:pPr>
        <w:pStyle w:val="2"/>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3797935" cy="2686050"/>
            <wp:effectExtent l="0" t="0" r="12065" b="0"/>
            <wp:docPr id="5" name="图片 5" descr="26黄岗山公园防灾避险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6黄岗山公园防灾避险规划图"/>
                    <pic:cNvPicPr>
                      <a:picLocks noChangeAspect="1"/>
                    </pic:cNvPicPr>
                  </pic:nvPicPr>
                  <pic:blipFill>
                    <a:blip r:embed="rId8"/>
                    <a:stretch>
                      <a:fillRect/>
                    </a:stretch>
                  </pic:blipFill>
                  <pic:spPr>
                    <a:xfrm>
                      <a:off x="0" y="0"/>
                      <a:ext cx="3797935" cy="2686050"/>
                    </a:xfrm>
                    <a:prstGeom prst="rect">
                      <a:avLst/>
                    </a:prstGeom>
                  </pic:spPr>
                </pic:pic>
              </a:graphicData>
            </a:graphic>
          </wp:inline>
        </w:drawing>
      </w:r>
    </w:p>
    <w:p>
      <w:pPr>
        <w:pStyle w:val="2"/>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3867150" cy="2734310"/>
            <wp:effectExtent l="0" t="0" r="0" b="8890"/>
            <wp:docPr id="6" name="图片 6" descr="27黄岗山公园功能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7黄岗山公园功能分区图"/>
                    <pic:cNvPicPr>
                      <a:picLocks noChangeAspect="1"/>
                    </pic:cNvPicPr>
                  </pic:nvPicPr>
                  <pic:blipFill>
                    <a:blip r:embed="rId9"/>
                    <a:stretch>
                      <a:fillRect/>
                    </a:stretch>
                  </pic:blipFill>
                  <pic:spPr>
                    <a:xfrm>
                      <a:off x="0" y="0"/>
                      <a:ext cx="3867150" cy="2734310"/>
                    </a:xfrm>
                    <a:prstGeom prst="rect">
                      <a:avLst/>
                    </a:prstGeom>
                  </pic:spPr>
                </pic:pic>
              </a:graphicData>
            </a:graphic>
          </wp:inline>
        </w:drawing>
      </w:r>
      <w:bookmarkStart w:id="3" w:name="_GoBack"/>
      <w:bookmarkEnd w:id="3"/>
    </w:p>
    <w:p>
      <w:pPr>
        <w:pStyle w:val="2"/>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3884930" cy="2747645"/>
            <wp:effectExtent l="0" t="0" r="1270" b="14605"/>
            <wp:docPr id="7" name="图片 7" descr="28黄岗山公园防灾设施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8黄岗山公园防灾设施配置图"/>
                    <pic:cNvPicPr>
                      <a:picLocks noChangeAspect="1"/>
                    </pic:cNvPicPr>
                  </pic:nvPicPr>
                  <pic:blipFill>
                    <a:blip r:embed="rId10"/>
                    <a:stretch>
                      <a:fillRect/>
                    </a:stretch>
                  </pic:blipFill>
                  <pic:spPr>
                    <a:xfrm>
                      <a:off x="0" y="0"/>
                      <a:ext cx="3884930" cy="274764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幼圆">
    <w:panose1 w:val="02010509060101010101"/>
    <w:charset w:val="86"/>
    <w:family w:val="auto"/>
    <w:pitch w:val="default"/>
    <w:sig w:usb0="00000001" w:usb1="080E0000" w:usb2="00000000" w:usb3="00000000" w:csb0="00040000" w:csb1="00000000"/>
  </w:font>
  <w:font w:name="AcadEref">
    <w:panose1 w:val="02000500000000020003"/>
    <w:charset w:val="00"/>
    <w:family w:val="auto"/>
    <w:pitch w:val="default"/>
    <w:sig w:usb0="00000003" w:usb1="00000000" w:usb2="00000000" w:usb3="00000000" w:csb0="00000001" w:csb1="00000000"/>
  </w:font>
  <w:font w:name="AmdtSymbols">
    <w:panose1 w:val="02000500000000020004"/>
    <w:charset w:val="00"/>
    <w:family w:val="auto"/>
    <w:pitch w:val="default"/>
    <w:sig w:usb0="00000001" w:usb1="00000000" w:usb2="00000000" w:usb3="00000000" w:csb0="00000001" w:csb1="00000000"/>
  </w:font>
  <w:font w:name="Arial Rounded MT Bold">
    <w:panose1 w:val="020F0704030504030204"/>
    <w:charset w:val="00"/>
    <w:family w:val="auto"/>
    <w:pitch w:val="default"/>
    <w:sig w:usb0="00000003" w:usb1="00000000" w:usb2="00000000" w:usb3="00000000" w:csb0="20000001" w:csb1="00000000"/>
  </w:font>
  <w:font w:name="Bahnschrift Light">
    <w:panose1 w:val="020B0502040204020203"/>
    <w:charset w:val="00"/>
    <w:family w:val="auto"/>
    <w:pitch w:val="default"/>
    <w:sig w:usb0="A00002C7" w:usb1="00000002" w:usb2="00000000" w:usb3="00000000" w:csb0="2000019F" w:csb1="00000000"/>
  </w:font>
  <w:font w:name="新宋体">
    <w:panose1 w:val="02010609030101010101"/>
    <w:charset w:val="86"/>
    <w:family w:val="auto"/>
    <w:pitch w:val="default"/>
    <w:sig w:usb0="0000028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EE0D61"/>
    <w:multiLevelType w:val="multilevel"/>
    <w:tmpl w:val="2BEE0D61"/>
    <w:lvl w:ilvl="0" w:tentative="0">
      <w:start w:val="1"/>
      <w:numFmt w:val="japaneseCounting"/>
      <w:lvlText w:val="%1、"/>
      <w:lvlJc w:val="left"/>
      <w:pPr>
        <w:ind w:left="510" w:hanging="51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58E558CE"/>
    <w:multiLevelType w:val="singleLevel"/>
    <w:tmpl w:val="58E558CE"/>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8A4684E"/>
    <w:rsid w:val="55174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2"/>
    <w:basedOn w:val="1"/>
    <w:next w:val="1"/>
    <w:unhideWhenUsed/>
    <w:qFormat/>
    <w:uiPriority w:val="0"/>
    <w:pPr>
      <w:keepNext/>
      <w:keepLines/>
      <w:spacing w:line="240" w:lineRule="auto"/>
      <w:ind w:firstLine="0" w:firstLineChars="0"/>
      <w:outlineLvl w:val="1"/>
    </w:pPr>
    <w:rPr>
      <w:rFonts w:ascii="Arial" w:hAnsi="Arial"/>
      <w:b/>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style>
  <w:style w:type="character" w:styleId="6">
    <w:name w:val="Strong"/>
    <w:basedOn w:val="5"/>
    <w:qFormat/>
    <w:uiPriority w:val="99"/>
    <w:rPr>
      <w:rFonts w:cs="Times New Roman"/>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2021-06-23T07:05:00Z</dcterms:created>
  <dc:creator>Administrator</dc:creator>
  <cp:lastModifiedBy>Administrator</cp:lastModifiedBy>
  <dcterms:modified xsi:type="dcterms:W3CDTF">2021-06-23T08:00:11Z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896D455092B443FB93CEE724D9EA27B2</vt:lpwstr>
  </property>
</Properties>
</file>