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ascii="宋体" w:hAnsi="宋体" w:eastAsia="宋体" w:cs="宋体"/>
          <w:sz w:val="24"/>
          <w:szCs w:val="24"/>
        </w:rPr>
        <w:t>第二十条 市场监督管理部门建立分层分级、精准防控、末端发力、终端见效工作机制，以“双随机、一公开”监管为主要方式，随机抽取检查对象，随机选派检查人员对食品相关产品生产者、销售者实施日常监督检查，及时向社会公开检查事项及检查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NTUzMzg3ZjQzYTQ3NWZjNjFlZjcwYzBiY2Q1OTAifQ=="/>
  </w:docVars>
  <w:rsids>
    <w:rsidRoot w:val="00000000"/>
    <w:rsid w:val="2CD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2023-08-25T02:10:04Z</dcterms:created>
  <dc:creator>Administrator</dc:creator>
  <cp:lastModifiedBy>Administrator</cp:lastModifiedBy>
  <dcterms:modified xsi:type="dcterms:W3CDTF">2023-08-25T02:10:34Z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9F1CD7DE63BD44AA908A7E7CAC4F5763_13</vt:lpwstr>
  </property>
</Properties>
</file>