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szCs w:val="18"/>
        </w:rPr>
      </w:pPr>
      <w:bookmarkStart w:id="0" w:name="_Toc24724721"/>
      <w:r>
        <w:rPr>
          <w:rFonts w:hint="eastAsia" w:ascii="方正小标宋_GBK" w:hAnsi="方正小标宋_GBK" w:eastAsia="方正小标宋_GBK"/>
          <w:b w:val="0"/>
          <w:bCs w:val="0"/>
          <w:sz w:val="30"/>
          <w:lang w:eastAsia="zh-CN"/>
        </w:rPr>
        <w:t>寻乌县</w:t>
      </w:r>
      <w:r>
        <w:rPr>
          <w:rFonts w:hint="eastAsia" w:ascii="方正小标宋_GBK" w:hAnsi="方正小标宋_GBK" w:eastAsia="方正小标宋_GBK"/>
          <w:b w:val="0"/>
          <w:bCs w:val="0"/>
          <w:sz w:val="30"/>
        </w:rPr>
        <w:t>城市综合执法领域基层政务公开标准目录</w:t>
      </w:r>
      <w:bookmarkEnd w:id="0"/>
    </w:p>
    <w:tbl>
      <w:tblPr>
        <w:tblStyle w:val="3"/>
        <w:tblW w:w="16050" w:type="dxa"/>
        <w:tblInd w:w="-9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545"/>
        <w:gridCol w:w="1798"/>
        <w:gridCol w:w="2293"/>
        <w:gridCol w:w="1348"/>
        <w:gridCol w:w="1475"/>
        <w:gridCol w:w="723"/>
        <w:gridCol w:w="2643"/>
        <w:gridCol w:w="859"/>
        <w:gridCol w:w="709"/>
        <w:gridCol w:w="641"/>
        <w:gridCol w:w="873"/>
        <w:gridCol w:w="804"/>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89" w:type="dxa"/>
            <w:vMerge w:val="restart"/>
            <w:noWrap w:val="0"/>
            <w:vAlign w:val="center"/>
          </w:tcPr>
          <w:p>
            <w:pPr>
              <w:widowControl/>
              <w:jc w:val="center"/>
              <w:rPr>
                <w:rFonts w:ascii="Times New Roman" w:hAnsi="Times New Roman"/>
                <w:b/>
                <w:bCs/>
                <w:color w:val="000000"/>
                <w:kern w:val="0"/>
                <w:sz w:val="21"/>
                <w:szCs w:val="21"/>
              </w:rPr>
            </w:pPr>
            <w:r>
              <w:rPr>
                <w:rFonts w:hint="eastAsia" w:ascii="黑体" w:hAnsi="黑体" w:eastAsia="黑体" w:cs="黑体"/>
                <w:b/>
                <w:bCs/>
                <w:color w:val="000000"/>
                <w:kern w:val="0"/>
                <w:sz w:val="21"/>
                <w:szCs w:val="21"/>
              </w:rPr>
              <w:t>序号</w:t>
            </w:r>
          </w:p>
        </w:tc>
        <w:tc>
          <w:tcPr>
            <w:tcW w:w="2343" w:type="dxa"/>
            <w:gridSpan w:val="2"/>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公开事项</w:t>
            </w:r>
          </w:p>
        </w:tc>
        <w:tc>
          <w:tcPr>
            <w:tcW w:w="2293" w:type="dxa"/>
            <w:vMerge w:val="restart"/>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公开内容（要素）</w:t>
            </w:r>
          </w:p>
        </w:tc>
        <w:tc>
          <w:tcPr>
            <w:tcW w:w="1348" w:type="dxa"/>
            <w:vMerge w:val="restart"/>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公开依据</w:t>
            </w:r>
          </w:p>
        </w:tc>
        <w:tc>
          <w:tcPr>
            <w:tcW w:w="1475" w:type="dxa"/>
            <w:vMerge w:val="restart"/>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公开时限</w:t>
            </w:r>
          </w:p>
        </w:tc>
        <w:tc>
          <w:tcPr>
            <w:tcW w:w="723" w:type="dxa"/>
            <w:vMerge w:val="restart"/>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公开主体</w:t>
            </w:r>
          </w:p>
        </w:tc>
        <w:tc>
          <w:tcPr>
            <w:tcW w:w="2643" w:type="dxa"/>
            <w:vMerge w:val="restart"/>
            <w:noWrap w:val="0"/>
            <w:vAlign w:val="center"/>
          </w:tcPr>
          <w:p>
            <w:pPr>
              <w:widowControl/>
              <w:jc w:val="center"/>
              <w:rPr>
                <w:rFonts w:hint="eastAsia" w:ascii="黑体" w:hAnsi="宋体" w:eastAsia="黑体" w:cs="宋体"/>
                <w:b/>
                <w:bCs/>
                <w:kern w:val="0"/>
                <w:sz w:val="21"/>
                <w:szCs w:val="21"/>
                <w:lang w:eastAsia="zh-CN"/>
              </w:rPr>
            </w:pPr>
            <w:r>
              <w:rPr>
                <w:rFonts w:hint="eastAsia" w:ascii="黑体" w:hAnsi="宋体" w:eastAsia="黑体" w:cs="宋体"/>
                <w:b/>
                <w:bCs/>
                <w:kern w:val="0"/>
                <w:sz w:val="21"/>
                <w:szCs w:val="21"/>
              </w:rPr>
              <w:t>公开渠道和载体</w:t>
            </w:r>
            <w:bookmarkStart w:id="1" w:name="_GoBack"/>
            <w:bookmarkEnd w:id="1"/>
          </w:p>
        </w:tc>
        <w:tc>
          <w:tcPr>
            <w:tcW w:w="1568" w:type="dxa"/>
            <w:gridSpan w:val="2"/>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公开对象</w:t>
            </w:r>
          </w:p>
        </w:tc>
        <w:tc>
          <w:tcPr>
            <w:tcW w:w="1514" w:type="dxa"/>
            <w:gridSpan w:val="2"/>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公开方式</w:t>
            </w:r>
          </w:p>
        </w:tc>
        <w:tc>
          <w:tcPr>
            <w:tcW w:w="1554" w:type="dxa"/>
            <w:gridSpan w:val="2"/>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589" w:type="dxa"/>
            <w:vMerge w:val="continue"/>
            <w:noWrap w:val="0"/>
            <w:vAlign w:val="center"/>
          </w:tcPr>
          <w:p>
            <w:pPr>
              <w:widowControl/>
              <w:jc w:val="left"/>
              <w:rPr>
                <w:rFonts w:ascii="Times New Roman" w:hAnsi="Times New Roman"/>
                <w:b/>
                <w:bCs/>
                <w:color w:val="000000"/>
                <w:kern w:val="0"/>
                <w:sz w:val="21"/>
                <w:szCs w:val="21"/>
              </w:rPr>
            </w:pPr>
          </w:p>
        </w:tc>
        <w:tc>
          <w:tcPr>
            <w:tcW w:w="545" w:type="dxa"/>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一级事项</w:t>
            </w:r>
          </w:p>
        </w:tc>
        <w:tc>
          <w:tcPr>
            <w:tcW w:w="1798" w:type="dxa"/>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二级事项</w:t>
            </w:r>
          </w:p>
        </w:tc>
        <w:tc>
          <w:tcPr>
            <w:tcW w:w="2293" w:type="dxa"/>
            <w:vMerge w:val="continue"/>
            <w:noWrap w:val="0"/>
            <w:vAlign w:val="center"/>
          </w:tcPr>
          <w:p>
            <w:pPr>
              <w:widowControl/>
              <w:jc w:val="left"/>
              <w:rPr>
                <w:rFonts w:ascii="黑体" w:hAnsi="宋体" w:eastAsia="黑体" w:cs="宋体"/>
                <w:b/>
                <w:bCs/>
                <w:color w:val="000000"/>
                <w:kern w:val="0"/>
                <w:sz w:val="21"/>
                <w:szCs w:val="21"/>
              </w:rPr>
            </w:pPr>
          </w:p>
        </w:tc>
        <w:tc>
          <w:tcPr>
            <w:tcW w:w="1348" w:type="dxa"/>
            <w:vMerge w:val="continue"/>
            <w:noWrap w:val="0"/>
            <w:vAlign w:val="center"/>
          </w:tcPr>
          <w:p>
            <w:pPr>
              <w:widowControl/>
              <w:jc w:val="left"/>
              <w:rPr>
                <w:rFonts w:ascii="黑体" w:hAnsi="宋体" w:eastAsia="黑体" w:cs="宋体"/>
                <w:b/>
                <w:bCs/>
                <w:color w:val="000000"/>
                <w:kern w:val="0"/>
                <w:sz w:val="21"/>
                <w:szCs w:val="21"/>
              </w:rPr>
            </w:pPr>
          </w:p>
        </w:tc>
        <w:tc>
          <w:tcPr>
            <w:tcW w:w="1475" w:type="dxa"/>
            <w:vMerge w:val="continue"/>
            <w:noWrap w:val="0"/>
            <w:vAlign w:val="center"/>
          </w:tcPr>
          <w:p>
            <w:pPr>
              <w:widowControl/>
              <w:jc w:val="left"/>
              <w:rPr>
                <w:rFonts w:ascii="黑体" w:hAnsi="宋体" w:eastAsia="黑体" w:cs="宋体"/>
                <w:b/>
                <w:bCs/>
                <w:color w:val="000000"/>
                <w:kern w:val="0"/>
                <w:sz w:val="21"/>
                <w:szCs w:val="21"/>
              </w:rPr>
            </w:pPr>
          </w:p>
        </w:tc>
        <w:tc>
          <w:tcPr>
            <w:tcW w:w="723" w:type="dxa"/>
            <w:vMerge w:val="continue"/>
            <w:noWrap w:val="0"/>
            <w:vAlign w:val="center"/>
          </w:tcPr>
          <w:p>
            <w:pPr>
              <w:widowControl/>
              <w:jc w:val="left"/>
              <w:rPr>
                <w:rFonts w:ascii="黑体" w:hAnsi="宋体" w:eastAsia="黑体" w:cs="宋体"/>
                <w:b/>
                <w:bCs/>
                <w:color w:val="000000"/>
                <w:kern w:val="0"/>
                <w:sz w:val="21"/>
                <w:szCs w:val="21"/>
              </w:rPr>
            </w:pPr>
          </w:p>
        </w:tc>
        <w:tc>
          <w:tcPr>
            <w:tcW w:w="2643" w:type="dxa"/>
            <w:vMerge w:val="continue"/>
            <w:noWrap w:val="0"/>
            <w:vAlign w:val="center"/>
          </w:tcPr>
          <w:p>
            <w:pPr>
              <w:widowControl/>
              <w:jc w:val="left"/>
              <w:rPr>
                <w:rFonts w:ascii="黑体" w:hAnsi="宋体" w:eastAsia="黑体" w:cs="宋体"/>
                <w:b/>
                <w:bCs/>
                <w:kern w:val="0"/>
                <w:sz w:val="21"/>
                <w:szCs w:val="21"/>
              </w:rPr>
            </w:pPr>
          </w:p>
        </w:tc>
        <w:tc>
          <w:tcPr>
            <w:tcW w:w="859" w:type="dxa"/>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全社会</w:t>
            </w:r>
          </w:p>
        </w:tc>
        <w:tc>
          <w:tcPr>
            <w:tcW w:w="709" w:type="dxa"/>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特定群众</w:t>
            </w:r>
          </w:p>
        </w:tc>
        <w:tc>
          <w:tcPr>
            <w:tcW w:w="641" w:type="dxa"/>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主动</w:t>
            </w:r>
          </w:p>
        </w:tc>
        <w:tc>
          <w:tcPr>
            <w:tcW w:w="873" w:type="dxa"/>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依申请</w:t>
            </w:r>
          </w:p>
        </w:tc>
        <w:tc>
          <w:tcPr>
            <w:tcW w:w="804" w:type="dxa"/>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县级</w:t>
            </w:r>
          </w:p>
        </w:tc>
        <w:tc>
          <w:tcPr>
            <w:tcW w:w="750" w:type="dxa"/>
            <w:noWrap w:val="0"/>
            <w:vAlign w:val="center"/>
          </w:tcPr>
          <w:p>
            <w:pPr>
              <w:widowControl/>
              <w:jc w:val="center"/>
              <w:rPr>
                <w:rFonts w:ascii="黑体" w:hAnsi="宋体" w:eastAsia="黑体" w:cs="宋体"/>
                <w:b/>
                <w:bCs/>
                <w:color w:val="000000"/>
                <w:kern w:val="0"/>
                <w:sz w:val="21"/>
                <w:szCs w:val="21"/>
              </w:rPr>
            </w:pPr>
            <w:r>
              <w:rPr>
                <w:rFonts w:hint="eastAsia" w:ascii="黑体" w:hAnsi="宋体" w:eastAsia="黑体" w:cs="宋体"/>
                <w:b/>
                <w:bCs/>
                <w:color w:val="000000"/>
                <w:kern w:val="0"/>
                <w:sz w:val="21"/>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8" w:hRule="atLeast"/>
        </w:trPr>
        <w:tc>
          <w:tcPr>
            <w:tcW w:w="589" w:type="dxa"/>
            <w:noWrap w:val="0"/>
            <w:vAlign w:val="center"/>
          </w:tcPr>
          <w:p>
            <w:pPr>
              <w:jc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2"/>
                <w:sz w:val="18"/>
                <w:szCs w:val="18"/>
                <w:u w:val="none"/>
                <w:lang w:val="en-US" w:eastAsia="zh-CN" w:bidi="ar-SA"/>
              </w:rPr>
              <w:t>对房地产开发企业隐瞒真实情况、弄虚作假骗取资质证书的行政处罚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《房地产开发企业资质管理规定》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0" w:hRule="atLeast"/>
        </w:trPr>
        <w:tc>
          <w:tcPr>
            <w:tcW w:w="589" w:type="dxa"/>
            <w:noWrap w:val="0"/>
            <w:vAlign w:val="center"/>
          </w:tcPr>
          <w:p>
            <w:pPr>
              <w:jc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2"/>
                <w:sz w:val="18"/>
                <w:szCs w:val="18"/>
                <w:u w:val="none"/>
                <w:lang w:val="en-US" w:eastAsia="zh-CN" w:bidi="ar-SA"/>
              </w:rPr>
              <w:t>对房地产开发企业未与施工单位签订专门的安全生产管理协议等3项的行政处罚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《生产安全事故报告和调查处理条例》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对房地产开发企业未按照规定设置安全生产管理机构或者配备安全生产管理人员等7项的行政处罚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《安全生产法》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对房地产开发企业涂改、出租、出借、转让、出卖资质证书的行政处罚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《房地产开发企业资质管理规定》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eastAsia"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5</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对房地产开发企业不按照规定办理变更手续的行政处罚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《房地产开发企业资质管理规定》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3"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6</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对房地产开发企业未与施工单位签订专门的安全生产管理协议等3项的行政处罚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《江西省城乡规划条例》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6"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7</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对房地产开发企业超越资质等级从事房地产开发经营的行政处罚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w:t>
            </w:r>
          </w:p>
          <w:p>
            <w:pPr>
              <w:rPr>
                <w:rFonts w:hint="eastAsia" w:ascii="仿宋_GB2312" w:eastAsia="仿宋_GB2312"/>
                <w:sz w:val="18"/>
                <w:szCs w:val="18"/>
              </w:rPr>
            </w:pPr>
            <w:r>
              <w:rPr>
                <w:rFonts w:hint="eastAsia" w:ascii="仿宋_GB2312" w:eastAsia="仿宋_GB2312"/>
                <w:sz w:val="18"/>
                <w:szCs w:val="18"/>
              </w:rPr>
              <w:t>《房地产开发企业资质管理规定》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8</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对房地产开发企业未取得资质等级证书从事房地产开发经营的行政处罚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w:t>
            </w:r>
          </w:p>
          <w:p>
            <w:pPr>
              <w:rPr>
                <w:rFonts w:hint="eastAsia" w:ascii="仿宋_GB2312" w:eastAsia="仿宋_GB2312"/>
                <w:sz w:val="18"/>
                <w:szCs w:val="18"/>
              </w:rPr>
            </w:pPr>
            <w:r>
              <w:rPr>
                <w:rFonts w:hint="eastAsia" w:ascii="仿宋_GB2312" w:eastAsia="仿宋_GB2312"/>
                <w:sz w:val="18"/>
                <w:szCs w:val="18"/>
              </w:rPr>
              <w:t>《房地产开发企业资质管理规定》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9</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对提供虚假注册材料的的行政处罚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《注册房地产估价师管理办法》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10</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对注册房地产估价师、聘用单位未按要求提供房地产估价师信用档案信息的行政处罚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《注册房地产估价师管理办法》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11</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对施工图设计文件审查机构超出范围从事施工图审查等7项的行政处罚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《房屋建筑和市政基础设施工程施工图设计文件审查管理办法》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12</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对在虚假审查合格书上签字的审查人员的行政处罚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《房屋建筑和市政基础设施工程施工图设计文件审查管理办法》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eastAsia" w:ascii="仿宋_GB2312" w:hAnsi="宋体" w:eastAsia="仿宋_GB2312" w:cs="宋体"/>
                <w:sz w:val="18"/>
                <w:szCs w:val="18"/>
                <w:lang w:val="en-US" w:eastAsia="zh-CN"/>
              </w:rPr>
            </w:pPr>
            <w:r>
              <w:rPr>
                <w:rFonts w:hint="eastAsia" w:ascii="仿宋_GB2312" w:eastAsia="仿宋_GB2312"/>
                <w:sz w:val="18"/>
                <w:szCs w:val="18"/>
              </w:rPr>
              <w:t>1</w:t>
            </w:r>
            <w:r>
              <w:rPr>
                <w:rFonts w:hint="eastAsia" w:ascii="仿宋_GB2312" w:eastAsia="仿宋_GB2312"/>
                <w:sz w:val="18"/>
                <w:szCs w:val="18"/>
                <w:lang w:val="en-US" w:eastAsia="zh-CN"/>
              </w:rPr>
              <w:t>3</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对建设单位压缩合理审查周期等3项的行政处罚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《房屋建筑和市政基础设施工程施工图设计文件审查管理办法》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14</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对审查机构受到罚款处罚的法定代表人和其他直接责任人员的行政处罚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《房屋建筑和市政基础设施工程施工图设计文件审查管理办法》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房地产管理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对施工图设计文件审查机构出具虚假审查合格书的行政处罚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《房屋建筑和市政基础设施工程施工图设计文件审查管理办法》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16</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未取得施工资质证书或者超越规定经营范围承揽施工的处罚</w:t>
            </w:r>
            <w:r>
              <w:rPr>
                <w:rFonts w:hint="eastAsia" w:ascii="宋体" w:hAnsi="宋体" w:eastAsia="宋体" w:cs="宋体"/>
                <w:i w:val="0"/>
                <w:color w:val="000000"/>
                <w:kern w:val="0"/>
                <w:sz w:val="22"/>
                <w:szCs w:val="22"/>
                <w:u w:val="none"/>
                <w:lang w:val="en-US" w:eastAsia="zh-CN" w:bidi="ar"/>
              </w:rPr>
              <w:t xml:space="preserve">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《江西省村镇规划建设管理条例》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17</w:t>
            </w:r>
          </w:p>
        </w:tc>
        <w:tc>
          <w:tcPr>
            <w:tcW w:w="545" w:type="dxa"/>
            <w:noWrap w:val="0"/>
            <w:vAlign w:val="center"/>
          </w:tcPr>
          <w:p>
            <w:pPr>
              <w:jc w:val="center"/>
              <w:rPr>
                <w:rFonts w:hint="eastAsia" w:ascii="仿宋_GB2312" w:eastAsia="仿宋_GB2312"/>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不按有关技术规定施工或者使用不符合工程质量要求的建筑材料和建筑构件的处罚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《江西省村镇规划建设管理条例》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未按设计图纸施工或者擅自修改设计图纸的处罚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《江西省村镇规划建设管理条例》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19</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未取得设计资质证书或者未按设计资质证书规定的经营范围承揽设计的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《江西省村镇规划建设管理条例》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w:t>
            </w:r>
          </w:p>
        </w:tc>
        <w:tc>
          <w:tcPr>
            <w:tcW w:w="545" w:type="dxa"/>
            <w:noWrap w:val="0"/>
            <w:vAlign w:val="center"/>
          </w:tcPr>
          <w:p>
            <w:pPr>
              <w:jc w:val="center"/>
              <w:rPr>
                <w:rFonts w:hint="eastAsia" w:ascii="仿宋_GB2312" w:eastAsia="仿宋_GB2312"/>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未取得建设工程规划许可证或者未按照建设工程规划许可证的规定进行建设的处罚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《中华人民共和国城乡规划法》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3"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21</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建设工程勘测、设计单位违法进行勘测、设计的处罚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《江西省城乡规划条例》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6"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22</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建设单位未在建设工程竣工验收后六个月内向城乡规划主管部门报送有关竣工验收资料的处罚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《中华人民共和国城乡规划法》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w:t>
            </w:r>
          </w:p>
        </w:tc>
        <w:tc>
          <w:tcPr>
            <w:tcW w:w="545" w:type="dxa"/>
            <w:noWrap w:val="0"/>
            <w:vAlign w:val="center"/>
          </w:tcPr>
          <w:p>
            <w:pPr>
              <w:jc w:val="center"/>
              <w:rPr>
                <w:rFonts w:hint="eastAsia" w:ascii="仿宋_GB2312" w:eastAsia="仿宋_GB2312"/>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未经城市规划行政主管部门批准，在住宅室内装饰装修活动中搭建建筑物、构筑物的，或者擅自改变住宅外立面、在非承重外墙上开门、窗的处罚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《中华人民共和国城乡规划法》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24</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未经城市、县人民政府城乡规划主管部门或者乡、镇人民政府验线或者验线不合格继续建设的处罚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《江西省城乡规划条例》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25</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未按要求在建设项目施工现场设置建设工程规划公示牌的处罚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《江西省城乡规划条例》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26</w:t>
            </w:r>
          </w:p>
        </w:tc>
        <w:tc>
          <w:tcPr>
            <w:tcW w:w="545" w:type="dxa"/>
            <w:noWrap w:val="0"/>
            <w:vAlign w:val="center"/>
          </w:tcPr>
          <w:p>
            <w:pPr>
              <w:jc w:val="center"/>
              <w:rPr>
                <w:rFonts w:hint="eastAsia" w:ascii="仿宋_GB2312" w:eastAsia="仿宋_GB2312"/>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责令当事人改正或者限期改正违法行为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《中华人民共和国行政处罚法》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27</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查封施工现场、强制拆除违法建筑物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《中华人民共和国城乡规划法》</w:t>
            </w:r>
          </w:p>
          <w:p>
            <w:pPr>
              <w:rPr>
                <w:rFonts w:hint="eastAsia" w:ascii="仿宋_GB2312" w:hAnsi="宋体" w:eastAsia="仿宋_GB2312" w:cs="宋体"/>
                <w:sz w:val="18"/>
                <w:szCs w:val="18"/>
              </w:rPr>
            </w:pPr>
            <w:r>
              <w:rPr>
                <w:rFonts w:hint="eastAsia" w:ascii="仿宋_GB2312" w:eastAsia="仿宋_GB2312"/>
                <w:sz w:val="18"/>
                <w:szCs w:val="18"/>
              </w:rPr>
              <w:t>《江西省城乡规划条例》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28</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对勘察设计单位未按照工程建设强制性标准进行勘察设计等4项的行政处罚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《建设工程质量管理条例》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29</w:t>
            </w:r>
          </w:p>
        </w:tc>
        <w:tc>
          <w:tcPr>
            <w:tcW w:w="545" w:type="dxa"/>
            <w:noWrap w:val="0"/>
            <w:vAlign w:val="center"/>
          </w:tcPr>
          <w:p>
            <w:pPr>
              <w:jc w:val="center"/>
              <w:rPr>
                <w:rFonts w:hint="eastAsia" w:ascii="仿宋_GB2312" w:eastAsia="仿宋_GB2312"/>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对勘察单位勘察文件没有责任人签字或者签字不全等4项的行政处罚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《建设工程勘察质量管理办法》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30</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对勘察设计单位未依据项目批准文件等3项的行政处罚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《建设工程质量管理条例》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31</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对工程质量检测机构法定代表人和其他直接责任人员的行政处罚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《建设工程质量检测管理办法》</w:t>
            </w:r>
          </w:p>
        </w:tc>
        <w:tc>
          <w:tcPr>
            <w:tcW w:w="1475" w:type="dxa"/>
            <w:noWrap w:val="0"/>
            <w:vAlign w:val="center"/>
          </w:tcPr>
          <w:p>
            <w:pPr>
              <w:numPr>
                <w:ilvl w:val="0"/>
                <w:numId w:val="1"/>
              </w:numPr>
              <w:rPr>
                <w:rFonts w:hint="eastAsia" w:ascii="仿宋_GB2312" w:eastAsia="仿宋_GB2312"/>
                <w:sz w:val="18"/>
                <w:szCs w:val="18"/>
              </w:rPr>
            </w:pPr>
            <w:r>
              <w:rPr>
                <w:rFonts w:hint="eastAsia" w:ascii="仿宋_GB2312" w:eastAsia="仿宋_GB2312"/>
                <w:sz w:val="18"/>
                <w:szCs w:val="18"/>
              </w:rPr>
              <w:t>除处罚决定外其他内容：长期公开（动态调整）；</w:t>
            </w:r>
          </w:p>
          <w:p>
            <w:pPr>
              <w:numPr>
                <w:ilvl w:val="0"/>
                <w:numId w:val="1"/>
              </w:numPr>
              <w:rPr>
                <w:rFonts w:hint="eastAsia" w:ascii="仿宋_GB2312" w:hAnsi="宋体" w:eastAsia="仿宋_GB2312" w:cs="宋体"/>
                <w:sz w:val="18"/>
                <w:szCs w:val="18"/>
              </w:rPr>
            </w:pP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32</w:t>
            </w:r>
          </w:p>
        </w:tc>
        <w:tc>
          <w:tcPr>
            <w:tcW w:w="545" w:type="dxa"/>
            <w:noWrap w:val="0"/>
            <w:vAlign w:val="center"/>
          </w:tcPr>
          <w:p>
            <w:pPr>
              <w:jc w:val="center"/>
              <w:rPr>
                <w:rFonts w:hint="eastAsia" w:ascii="仿宋_GB2312" w:eastAsia="仿宋_GB2312"/>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对建筑施工企业在施工中偷工减料的，使用不合格的建筑材料、建筑构配件和设备的,或者有其他不按照工程设计图纸或者施工技术标准施工的行为的行政处罚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《中华人民共和国建筑法》</w:t>
            </w:r>
          </w:p>
        </w:tc>
        <w:tc>
          <w:tcPr>
            <w:tcW w:w="1475" w:type="dxa"/>
            <w:noWrap w:val="0"/>
            <w:vAlign w:val="center"/>
          </w:tcPr>
          <w:p>
            <w:pPr>
              <w:numPr>
                <w:ilvl w:val="0"/>
                <w:numId w:val="2"/>
              </w:numPr>
              <w:rPr>
                <w:rFonts w:hint="eastAsia" w:ascii="仿宋_GB2312" w:eastAsia="仿宋_GB2312"/>
                <w:sz w:val="18"/>
                <w:szCs w:val="18"/>
              </w:rPr>
            </w:pP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33</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对施工单位不履行保修义务或者拖延履行保修义务的行政处罚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《建设工程质量管理条例》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34</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对施工单位未对建筑材料、建筑构配件、设备和商品混凝土进行检验等行为的行政处罚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《建设工程质量管理条例》</w:t>
            </w:r>
          </w:p>
        </w:tc>
        <w:tc>
          <w:tcPr>
            <w:tcW w:w="1475" w:type="dxa"/>
            <w:noWrap w:val="0"/>
            <w:vAlign w:val="center"/>
          </w:tcPr>
          <w:p>
            <w:pPr>
              <w:numPr>
                <w:ilvl w:val="0"/>
                <w:numId w:val="1"/>
              </w:numPr>
              <w:rPr>
                <w:rFonts w:hint="eastAsia" w:ascii="仿宋_GB2312" w:eastAsia="仿宋_GB2312"/>
                <w:sz w:val="18"/>
                <w:szCs w:val="18"/>
              </w:rPr>
            </w:pPr>
            <w:r>
              <w:rPr>
                <w:rFonts w:hint="eastAsia" w:ascii="仿宋_GB2312" w:eastAsia="仿宋_GB2312"/>
                <w:sz w:val="18"/>
                <w:szCs w:val="18"/>
              </w:rPr>
              <w:t>除处罚决定外其他内容：长期公开（动态调整）；</w:t>
            </w:r>
          </w:p>
          <w:p>
            <w:pPr>
              <w:numPr>
                <w:ilvl w:val="0"/>
                <w:numId w:val="1"/>
              </w:numPr>
              <w:rPr>
                <w:rFonts w:hint="eastAsia" w:ascii="仿宋_GB2312" w:hAnsi="宋体" w:eastAsia="仿宋_GB2312" w:cs="宋体"/>
                <w:sz w:val="18"/>
                <w:szCs w:val="18"/>
              </w:rPr>
            </w:pP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35</w:t>
            </w:r>
          </w:p>
        </w:tc>
        <w:tc>
          <w:tcPr>
            <w:tcW w:w="545" w:type="dxa"/>
            <w:noWrap w:val="0"/>
            <w:vAlign w:val="center"/>
          </w:tcPr>
          <w:p>
            <w:pPr>
              <w:jc w:val="center"/>
              <w:rPr>
                <w:rFonts w:hint="eastAsia" w:ascii="仿宋_GB2312" w:eastAsia="仿宋_GB2312"/>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对施工单位在施工中偷工减料的，使用不合格的建筑材料、建筑构配件和设备的，或者有不按照工程设计图纸或者施工技术标准施工的其他行为的行政处罚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《建设工程质量管理条例》</w:t>
            </w:r>
          </w:p>
        </w:tc>
        <w:tc>
          <w:tcPr>
            <w:tcW w:w="1475" w:type="dxa"/>
            <w:noWrap w:val="0"/>
            <w:vAlign w:val="center"/>
          </w:tcPr>
          <w:p>
            <w:pPr>
              <w:numPr>
                <w:ilvl w:val="0"/>
                <w:numId w:val="2"/>
              </w:numPr>
              <w:rPr>
                <w:rFonts w:hint="eastAsia" w:ascii="仿宋_GB2312" w:eastAsia="仿宋_GB2312"/>
                <w:sz w:val="18"/>
                <w:szCs w:val="18"/>
              </w:rPr>
            </w:pP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36</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对建设工程质量检测委托方委托未取得相应资质的检测机构进行检测等3项的行政处罚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《建设工程质量检测管理办法》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37</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对工程质量检测机构未取得相应的资质，擅自承担本办法规定的检测业务的行政处罚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《建设工程质量检测管理办法》</w:t>
            </w:r>
          </w:p>
        </w:tc>
        <w:tc>
          <w:tcPr>
            <w:tcW w:w="1475" w:type="dxa"/>
            <w:noWrap w:val="0"/>
            <w:vAlign w:val="center"/>
          </w:tcPr>
          <w:p>
            <w:pPr>
              <w:numPr>
                <w:ilvl w:val="0"/>
                <w:numId w:val="1"/>
              </w:numPr>
              <w:rPr>
                <w:rFonts w:hint="eastAsia" w:ascii="仿宋_GB2312" w:eastAsia="仿宋_GB2312"/>
                <w:sz w:val="18"/>
                <w:szCs w:val="18"/>
              </w:rPr>
            </w:pPr>
            <w:r>
              <w:rPr>
                <w:rFonts w:hint="eastAsia" w:ascii="仿宋_GB2312" w:eastAsia="仿宋_GB2312"/>
                <w:sz w:val="18"/>
                <w:szCs w:val="18"/>
              </w:rPr>
              <w:t>除处罚决定外其他内容：长期公开（动态调整）；</w:t>
            </w:r>
          </w:p>
          <w:p>
            <w:pPr>
              <w:numPr>
                <w:ilvl w:val="0"/>
                <w:numId w:val="1"/>
              </w:numPr>
              <w:rPr>
                <w:rFonts w:hint="eastAsia" w:ascii="仿宋_GB2312" w:hAnsi="宋体" w:eastAsia="仿宋_GB2312" w:cs="宋体"/>
                <w:sz w:val="18"/>
                <w:szCs w:val="18"/>
              </w:rPr>
            </w:pP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38</w:t>
            </w:r>
          </w:p>
        </w:tc>
        <w:tc>
          <w:tcPr>
            <w:tcW w:w="545" w:type="dxa"/>
            <w:noWrap w:val="0"/>
            <w:vAlign w:val="center"/>
          </w:tcPr>
          <w:p>
            <w:pPr>
              <w:jc w:val="center"/>
              <w:rPr>
                <w:rFonts w:hint="eastAsia" w:ascii="仿宋_GB2312" w:eastAsia="仿宋_GB2312"/>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对工程质量检测机构隐瞒有关情况或者提供虚假材料申请资质的行政处罚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《建设工程质量检测管理办法》</w:t>
            </w:r>
          </w:p>
        </w:tc>
        <w:tc>
          <w:tcPr>
            <w:tcW w:w="1475" w:type="dxa"/>
            <w:noWrap w:val="0"/>
            <w:vAlign w:val="center"/>
          </w:tcPr>
          <w:p>
            <w:pPr>
              <w:numPr>
                <w:ilvl w:val="0"/>
                <w:numId w:val="2"/>
              </w:numPr>
              <w:rPr>
                <w:rFonts w:hint="eastAsia" w:ascii="仿宋_GB2312" w:eastAsia="仿宋_GB2312"/>
                <w:sz w:val="18"/>
                <w:szCs w:val="18"/>
              </w:rPr>
            </w:pP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39</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对工程质量检测机构超出资质范围从事检测活动等8项的行政处罚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《建设工程质量检测管理办法》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40</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对工程质量检测机构伪造检测数据，出具虚假检测报告或者鉴定结论的行政处罚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《建设工程质量检测管理办法》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41</w:t>
            </w:r>
          </w:p>
        </w:tc>
        <w:tc>
          <w:tcPr>
            <w:tcW w:w="545" w:type="dxa"/>
            <w:noWrap w:val="0"/>
            <w:vAlign w:val="center"/>
          </w:tcPr>
          <w:p>
            <w:pPr>
              <w:jc w:val="center"/>
              <w:rPr>
                <w:rFonts w:hint="eastAsia" w:ascii="仿宋_GB2312" w:eastAsia="仿宋_GB2312"/>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对工程质量检测机构以欺骗、贿赂等不正当手段取得资质证书的行政处罚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《建设工程质量检测管理办法》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42</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lang w:eastAsia="zh-CN"/>
              </w:rPr>
              <w:t>工程建设</w:t>
            </w:r>
            <w:r>
              <w:rPr>
                <w:rFonts w:hint="eastAsia" w:ascii="仿宋_GB2312" w:eastAsia="仿宋_GB2312"/>
                <w:sz w:val="18"/>
                <w:szCs w:val="18"/>
              </w:rPr>
              <w:t>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对工程质量检测机构超出资质范围从事检测活动等8项的行政处罚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《赣州市城市管理条例》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43</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历史文化名城名镇名村保护</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对建设单位、个人建设工程选址的行政检查</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《历史文化名城名镇名村保护条例》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44</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历史文化名城名镇名村保护</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对历史建筑进行外部修缮装饰、添加设施以及改变历史建筑的结构或者使用性质的进行行政检查</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《历史文化名城名镇名村保护条例》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45</w:t>
            </w:r>
          </w:p>
        </w:tc>
        <w:tc>
          <w:tcPr>
            <w:tcW w:w="545"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历史文化名城名镇名村保护</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对文物保护单位的建设控制地带内建设工程进行行政检查</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《文物保护法》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6</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擅自改变城市绿化用地性质，或者擅自占用城市绿化用地的处罚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47</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对攀、摘树枝、花果,在树上剥皮的处罚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48</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对擅自砍伐，迁移古树名木或者因养护不善致使古树名木受到损伤或者死亡的处罚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49</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未经批准擅自砍伐、移植和非正常修剪城市树木的处罚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50</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对不服公共绿地管理单位管理的商业、服务摊点的处罚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51</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对损坏公共绿地和园林设施的行为的处罚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52</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对损坏护树桩架，踩踏绿篱、花坛和封闭管理的草坪的处罚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53</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在城市绿地范围内进行拦河截溪取土采石设置垃圾堆场，排放污水以及其他对城市生态环境造成破坏活动的处罚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54</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城市绿化工程未经批准或者未按照批准的设计方案施工的处罚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《城市绿化条例》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55</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对改变绿化规划、绿化用地使用性质的行政检查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《城市绿化条例》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56</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对砍伐城市树木的行政检查</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57</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对未经批准擅自砍伐城市树木的行政处罚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《城市绿化条例》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58</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对迁移古树名木的行政检查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《城市绿化条例》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59</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对未经同意擅自迁移古树名木的行政处罚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60</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对临时占用绿地审批的行政检查</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《城市绿化条例》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61</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对未经同意擅自占用城市绿化用地的行政处罚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《赣州市城市管理条例》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62</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城市绿化管理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有关损坏园林绿地行为的处罚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《城市绿化管理办法》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both"/>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63</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擅自在街道两侧和公共场地堆放物料、搭建建筑物、构筑物或者其他设施，影响市容的处罚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《江西省城市市容环境卫生管理实施办法》</w:t>
            </w:r>
          </w:p>
          <w:p>
            <w:pPr>
              <w:rPr>
                <w:rFonts w:hint="eastAsia" w:ascii="仿宋_GB2312" w:eastAsia="仿宋_GB2312"/>
                <w:sz w:val="18"/>
                <w:szCs w:val="18"/>
              </w:rPr>
            </w:pPr>
            <w:r>
              <w:rPr>
                <w:rFonts w:hint="eastAsia" w:ascii="仿宋_GB2312" w:eastAsia="仿宋_GB2312"/>
                <w:sz w:val="18"/>
                <w:szCs w:val="18"/>
              </w:rPr>
              <w:t>《城市市容和环境卫生管理条例》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64</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未经批准擅自拆除环境卫生设施或者未按批准的拆迁方案进行拆迁的处罚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《江西省城市市容环境卫生管理实施办法》</w:t>
            </w:r>
          </w:p>
          <w:p>
            <w:pPr>
              <w:rPr>
                <w:rFonts w:hint="eastAsia" w:ascii="仿宋_GB2312" w:hAnsi="宋体" w:eastAsia="仿宋_GB2312" w:cs="宋体"/>
                <w:sz w:val="18"/>
                <w:szCs w:val="18"/>
              </w:rPr>
            </w:pPr>
            <w:r>
              <w:rPr>
                <w:rFonts w:hint="eastAsia" w:ascii="仿宋_GB2312" w:eastAsia="仿宋_GB2312"/>
                <w:sz w:val="18"/>
                <w:szCs w:val="18"/>
              </w:rPr>
              <w:t>《城市市容和环境卫生管理条例》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65</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擅自设置大型户外广告影响市容的处罚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《江西省城市市容环境卫生管理实施办法》</w:t>
            </w:r>
          </w:p>
          <w:p>
            <w:pPr>
              <w:rPr>
                <w:rFonts w:hint="eastAsia" w:ascii="仿宋_GB2312" w:eastAsia="仿宋_GB2312"/>
                <w:sz w:val="18"/>
                <w:szCs w:val="18"/>
              </w:rPr>
            </w:pPr>
            <w:r>
              <w:rPr>
                <w:rFonts w:hint="eastAsia" w:ascii="仿宋_GB2312" w:eastAsia="仿宋_GB2312"/>
                <w:sz w:val="18"/>
                <w:szCs w:val="18"/>
              </w:rPr>
              <w:t>《城市市容和环境卫生管理条例》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66</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店牌店招设置的管理</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《江西省户外广告管理条例》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67</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在电线杆、树木、住宅楼道上以及其他未经批准的场所书写、刻画、张贴户外广告的处罚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《江西省户外广告管理条例》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68</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损坏各类环境卫生设施及其附属设施的处罚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《江西省城市市容和环境卫生管理实施办法》</w:t>
            </w:r>
          </w:p>
          <w:p>
            <w:pPr>
              <w:rPr>
                <w:rFonts w:hint="eastAsia" w:ascii="仿宋_GB2312" w:eastAsia="仿宋_GB2312"/>
                <w:sz w:val="18"/>
                <w:szCs w:val="18"/>
              </w:rPr>
            </w:pPr>
            <w:r>
              <w:rPr>
                <w:rFonts w:hint="eastAsia" w:ascii="仿宋_GB2312" w:eastAsia="仿宋_GB2312"/>
                <w:sz w:val="18"/>
                <w:szCs w:val="18"/>
              </w:rPr>
              <w:t>《城市市容和环境卫生管理条例》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69</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厕所、化粪池、下水道冒溢，不及时处理的处罚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70</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从楼内向外抛废弃物的处罚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71</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火车、长途汽车进入市区，船舶进入港区，禁止向铁路两侧、城市道路及港区水域倾倒废弃物的处罚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《江西省城市市容和环境卫生管理实施办法》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72</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临街工地不设置护栏或者不作遮挡、停工场地不及时整理并作必要覆盖或者竣工后不及时清理和平整场地，影响市容和环境卫生的处罚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73</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乱扔动物尸体的处罚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74</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运输液体、散装货物不作密封、包扎、覆盖，造成泄露、遗撒的处罚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《江西省城市市容和环境卫生管理实施办法》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75</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随地吐痰、便溺，乱扔果皮、纸屑和烟头等废弃物的处罚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76</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不履行卫生责任区清扫保洁义务或者不按规定清运、处理垃圾和粪便的处罚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77</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户外广告、标语牌、画廊、橱窗等的使用或管理者未当定期维修、油饰或拆除的处罚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《江西省城市市容和环境卫生管理实施办法》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78</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在城市建筑物、设施以及树木上涂写、刻画或者未经批准张挂、张贴宣传品等</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79</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在城市人民政府规定的街道的临街建筑物的阳台和窗外，堆放、吊挂有碍市容的物品的处罚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80</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不按规定的时间、地点、方式，倾倒垃圾、粪便的处罚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《江西省城市市容和环境卫生管理实施办法》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81</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流动摊点的经营者未按规定清扫、收集其产生的废弃物的处罚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82</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未经批准擅自饲养家畜家禽影响市容和环境卫生的处罚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83</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环境卫生专业队伍不按规定时间清扫保洁街道、清运垃圾粪便的处罚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《江西省城市市容和环境卫生管理实施办法》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84</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对损坏环境卫生设施及其附属设施的行政处罚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85</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对环境卫生专业队伍不按规定时间清扫保洁道路、不按规定时间清运垃圾粪便的行政处罚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86</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对在国家行政建制设立的市的市区内饲养家禽家畜的行政处罚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《江西省城市市容和环境卫生管理实施办法》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87</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对随地吐痰、便溺、乱丢果皮、纸屑、烟头和碎玻璃等行为的处罚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88</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对不符合城市市容标准、环境卫生标准的建筑物或设施的行政强制</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89</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环境卫生专业队伍收取费用后未履行或不完全履行合同的处罚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《江西省城市市容和环境卫生管理实施办法》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90</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不符合城市容貌标准、环境卫生标准的建筑物或者设施的强制拆除</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91</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不符合城市容貌标准、环境卫生标准的建筑物或者设施的处罚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《江西省城市市容和环境卫生管理实施办法》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92</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对影响市容环境卫生行为的行政处罚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《赣州市城市管理条例》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93</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单位和个人未按规定缴纳城市生活垃圾处理费的处罚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94</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未按照城市生活垃圾治理规划和环境卫生设施标准配套建设城市生活垃圾收集设施的处罚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95</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城市生活垃圾处置设施未经验收或者验收不合格投入使用的处罚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《城市生活垃圾管理办法》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96</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擅自关闭、闲置或者拆除城市生活垃圾处置设施、场所的处罚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8"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97</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随意倾倒、抛洒、堆放城市生活垃圾的处罚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9"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98</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未经批准，从事城市生活垃圾经营性清扫、收集、运输或者处置活动的处罚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《中华人民共和国固体废物污染环境》《国务院对确需保留的行政审批项目设定行政许可的决定》</w:t>
            </w:r>
            <w:r>
              <w:rPr>
                <w:rFonts w:hint="eastAsia" w:ascii="仿宋_GB2312" w:eastAsia="仿宋_GB2312"/>
                <w:sz w:val="18"/>
                <w:szCs w:val="18"/>
                <w:lang w:val="en-US" w:eastAsia="zh-CN"/>
              </w:rPr>
              <w:t xml:space="preserve">          </w:t>
            </w: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99</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从事城市生活垃圾经营性清扫、收集、运输的企业，在运输过程中沿途丢弃、遗撒生活垃圾的处罚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100</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未按照规定处理处置过程中产生的污水、废气、废渣、粉尘等，防止二次污染的处罚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101</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未按照环境卫生作业标准和作业规范，在规定的时间内及时清扫、收运城市生活垃圾的处罚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《城市生活垃圾管理办法》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102</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未按照要求定期进行水、气、土壤等环境影响监测，对生活垃圾处理设施的性能和环保指标进行检测、评价，向所在地建设（环境卫生）主管部门报告检测、评价结果的处罚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103</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未保证城市生活垃圾处置站、场（厂）环境整洁的处罚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104</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未按照所在地建设（环境卫生）主管部门规定的时间和要求接收生活垃圾的处罚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《城市生活垃圾管理办法》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105</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用于收集、运输城市生活垃圾的车辆、船舶未做到密闭、完好和整洁的处罚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106</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未严格按照国家有关规定和技术标准，处置城市生活垃圾的城市生活垃圾经营性处置企业的处罚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107</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未将收集的城市生活垃圾运到直辖市、市、县人民政府建设（环境卫生）主管部门认可的处理场所的处罚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《城市生活垃圾管理办法》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108</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用于收集、运输城市生活垃圾的车辆、船舶未做到密闭、完好和整洁的处罚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109</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未按照要求配备城市生活垃圾处置设备、设施，保证设施、设备运行良好的处罚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110</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未按照要求配备合格的管理人员及操作人员的处罚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《城市生活垃圾管理办法》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111</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未按照规定处理处置过程中产生的污水、废气、废渣、粉尘等，防止二次污染的处罚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《城市生活垃圾管理办法》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112</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建筑垃圾储运消纳场受纳工业垃圾、生活垃圾和有毒有害垃圾的处罚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《城市建筑垃圾管理规定》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113</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未及时清运工程施工过程中产生的建筑垃圾造成环境污染的处罚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114</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处置建筑垃圾的单位在运输建筑垃圾过程中沿途丢弃、遗撒建筑垃圾的处罚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《城市建筑垃圾管理规定》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115</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涂改、倒卖、出租、出借或者以其他形式非法转让城市建筑垃圾处置核准文件的行政处罚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《城市建筑垃圾管理规定》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116</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随意倾倒、抛撒或者堆放建筑垃圾的处罚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117</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擅自处置处置建筑垃圾的处罚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《城市建筑垃圾管理规定》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118</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未按照要求配备城市生活垃圾处置设备、设施，保证设施、设备运行良好的处罚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《城市建筑垃圾管理规定》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119</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处置超出核准范围的建筑垃圾的处罚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120</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将危险废物混入建筑垃圾的处罚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121</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将建筑垃圾混入生活垃圾的处罚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122</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擅自设立弃置场受纳建筑垃圾的处罚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123</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施工单位将建筑垃圾交给个人或者未经核准从事建筑垃圾运输的单位处置的处罚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124</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对建筑垃圾清运的行政检查</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125</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对建筑垃圾处置的行政检查</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126</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对建筑垃圾储运消纳场受纳工业垃圾、生活垃圾和有毒有害垃圾的行政检查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127</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对随意倾倒、抛撒或者堆放建筑垃圾的行政检查</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128</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对将建筑垃圾混入生活垃圾、危险废物混入建筑垃圾、擅自设立弃置场受纳建筑垃圾的行政检查</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129</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对非法转让城市建设垃圾处置核准文件的行政检查</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130</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对建筑垃圾清运的行政处罚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131</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对将建筑垃圾混入生活垃圾、危险废物混入建筑垃圾、擅自设立弃置场受纳建筑垃圾的行政处罚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132</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对非法转让城市建设垃圾处置核准文件的行政处罚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133</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对建筑垃圾清运的行政处罚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eastAsia="仿宋_GB2312"/>
                <w:sz w:val="18"/>
                <w:szCs w:val="18"/>
                <w:lang w:val="en-US" w:eastAsia="zh-CN"/>
              </w:rPr>
              <w:t>134</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对随意倾倒、抛撒或者堆放建筑垃圾的行政处罚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135</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尚未开工建设的土地或者其他空地上，有擅自倾倒、堆放建筑垃圾（含余土）等行为的处罚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《赣州市城市管理条例》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136</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对未经批准擅自拆除环境卫生设施或者未按批准的拆迁方案进行拆迁的行政检查</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《江西省城市市容和环境卫生管理条例》</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137</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对未经批准擅自拆除环境卫生设施或者未按批准的拆迁方案进行拆迁的行政处罚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138</w:t>
            </w:r>
          </w:p>
        </w:tc>
        <w:tc>
          <w:tcPr>
            <w:tcW w:w="54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城市饮食服务业的经营者未釆取有效污染防治措施，致使排放的油烟对附近居民的居住环境造成污染的处罚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《中华人民共和国大气污染防治法》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139</w:t>
            </w:r>
          </w:p>
        </w:tc>
        <w:tc>
          <w:tcPr>
            <w:tcW w:w="545"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建筑垃圾准运证办理</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《国务院对确需保留的行政审批项目设定行政许可的决定》</w:t>
            </w:r>
          </w:p>
          <w:p>
            <w:pPr>
              <w:rPr>
                <w:rFonts w:hint="eastAsia" w:ascii="仿宋_GB2312" w:eastAsia="仿宋_GB2312"/>
                <w:sz w:val="18"/>
                <w:szCs w:val="18"/>
                <w:lang w:val="en-US" w:eastAsia="zh-CN"/>
              </w:rPr>
            </w:pPr>
            <w:r>
              <w:rPr>
                <w:rFonts w:hint="eastAsia" w:ascii="仿宋_GB2312" w:eastAsia="仿宋_GB2312"/>
                <w:sz w:val="18"/>
                <w:szCs w:val="18"/>
                <w:lang w:val="en-US" w:eastAsia="zh-CN"/>
              </w:rPr>
              <w:t>《城市建筑垃圾管理规定》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89"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140</w:t>
            </w:r>
          </w:p>
        </w:tc>
        <w:tc>
          <w:tcPr>
            <w:tcW w:w="545"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市容环境卫生管理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余土废渣调剂处置</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《城市建筑垃圾管理规定》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bl>
    <w:p>
      <w:pPr>
        <w:widowControl/>
        <w:jc w:val="both"/>
        <w:rPr>
          <w:rFonts w:ascii="Times New Roman" w:hAnsi="Times New Roman"/>
          <w:b/>
          <w:bCs/>
          <w:color w:val="000000"/>
          <w:kern w:val="0"/>
          <w:sz w:val="21"/>
          <w:szCs w:val="21"/>
        </w:rPr>
      </w:pPr>
    </w:p>
    <w:p>
      <w:pPr>
        <w:widowControl/>
        <w:jc w:val="both"/>
        <w:rPr>
          <w:rFonts w:ascii="Times New Roman" w:hAnsi="Times New Roman"/>
          <w:b/>
          <w:bCs/>
          <w:color w:val="000000"/>
          <w:kern w:val="0"/>
          <w:sz w:val="21"/>
          <w:szCs w:val="21"/>
        </w:rPr>
      </w:pPr>
    </w:p>
    <w:p>
      <w:pPr>
        <w:widowControl/>
        <w:jc w:val="both"/>
        <w:rPr>
          <w:rFonts w:ascii="Times New Roman" w:hAnsi="Times New Roman"/>
          <w:b/>
          <w:bCs/>
          <w:color w:val="000000"/>
          <w:kern w:val="0"/>
          <w:sz w:val="21"/>
          <w:szCs w:val="21"/>
        </w:rPr>
      </w:pPr>
    </w:p>
    <w:p>
      <w:pPr>
        <w:widowControl/>
        <w:jc w:val="both"/>
        <w:rPr>
          <w:rFonts w:ascii="Times New Roman" w:hAnsi="Times New Roman"/>
          <w:b/>
          <w:bCs/>
          <w:color w:val="000000"/>
          <w:kern w:val="0"/>
          <w:sz w:val="21"/>
          <w:szCs w:val="21"/>
        </w:rPr>
      </w:pPr>
    </w:p>
    <w:p>
      <w:pPr>
        <w:widowControl/>
        <w:jc w:val="both"/>
        <w:rPr>
          <w:rFonts w:ascii="Times New Roman" w:hAnsi="Times New Roman"/>
          <w:b/>
          <w:bCs/>
          <w:color w:val="000000"/>
          <w:kern w:val="0"/>
          <w:sz w:val="21"/>
          <w:szCs w:val="21"/>
        </w:rPr>
      </w:pPr>
    </w:p>
    <w:p>
      <w:pPr>
        <w:widowControl/>
        <w:jc w:val="both"/>
        <w:rPr>
          <w:rFonts w:ascii="Times New Roman" w:hAnsi="Times New Roman"/>
          <w:b/>
          <w:bCs/>
          <w:color w:val="000000"/>
          <w:kern w:val="0"/>
          <w:sz w:val="21"/>
          <w:szCs w:val="21"/>
        </w:rPr>
      </w:pPr>
    </w:p>
    <w:p>
      <w:pPr>
        <w:widowControl/>
        <w:jc w:val="both"/>
        <w:rPr>
          <w:rFonts w:ascii="Times New Roman" w:hAnsi="Times New Roman"/>
          <w:b/>
          <w:bCs/>
          <w:color w:val="000000"/>
          <w:kern w:val="0"/>
          <w:sz w:val="21"/>
          <w:szCs w:val="21"/>
        </w:rPr>
      </w:pPr>
    </w:p>
    <w:p>
      <w:pPr>
        <w:widowControl/>
        <w:jc w:val="both"/>
        <w:rPr>
          <w:rFonts w:ascii="Times New Roman" w:hAnsi="Times New Roman"/>
          <w:b/>
          <w:bCs/>
          <w:color w:val="000000"/>
          <w:kern w:val="0"/>
          <w:sz w:val="21"/>
          <w:szCs w:val="21"/>
        </w:rPr>
        <w:sectPr>
          <w:pgSz w:w="16838" w:h="11906" w:orient="landscape"/>
          <w:pgMar w:top="1009" w:right="1383" w:bottom="1009" w:left="1383" w:header="851" w:footer="992" w:gutter="0"/>
          <w:cols w:space="425" w:num="1"/>
          <w:docGrid w:type="lines" w:linePitch="312" w:charSpace="0"/>
        </w:sectPr>
      </w:pPr>
    </w:p>
    <w:tbl>
      <w:tblPr>
        <w:tblStyle w:val="3"/>
        <w:tblW w:w="16050" w:type="dxa"/>
        <w:tblInd w:w="-9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599"/>
        <w:gridCol w:w="1798"/>
        <w:gridCol w:w="2293"/>
        <w:gridCol w:w="1348"/>
        <w:gridCol w:w="1475"/>
        <w:gridCol w:w="723"/>
        <w:gridCol w:w="2643"/>
        <w:gridCol w:w="859"/>
        <w:gridCol w:w="709"/>
        <w:gridCol w:w="641"/>
        <w:gridCol w:w="873"/>
        <w:gridCol w:w="804"/>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141</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对临时性建筑物搭建、堆放物料、占道施工审批手续情况检查</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《江西省城市市容和环境卫生管理条例》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142</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企业以欺骗、贿赂等不正当手段获得特许经营权的处罚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《市政公用事业特许经营管理办法》</w:t>
            </w:r>
          </w:p>
          <w:p>
            <w:pPr>
              <w:rPr>
                <w:rFonts w:hint="eastAsia" w:ascii="仿宋_GB2312" w:eastAsia="仿宋_GB2312"/>
                <w:sz w:val="18"/>
                <w:szCs w:val="18"/>
              </w:rPr>
            </w:pP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143</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因管理不善，发生重大质量、生产安全事故的强制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《市政公用事业特许经营管理办法》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144</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擅自将所经营的财产进行处置或者抵押的强制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《市政公用事业特许经营管理办法》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145</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擅自停业、歇业，严重影响到社会公共利益和安全的行政强制</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《市政公用事业特许经营管理办法》</w:t>
            </w:r>
          </w:p>
          <w:p>
            <w:pPr>
              <w:rPr>
                <w:rFonts w:hint="eastAsia" w:ascii="仿宋_GB2312" w:eastAsia="仿宋_GB2312"/>
                <w:sz w:val="18"/>
                <w:szCs w:val="18"/>
              </w:rPr>
            </w:pP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146</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擅自转让、出租特许经营权的强制</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《市政公用事业特许经营管理办法》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147</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未经批准进行临时建设的处罚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148</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临时建筑物、构筑物超过批准期限不拆除的处罚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149</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未按照批准内容进行临时建设的处罚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150</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未按照城市道路设计、施工技术规范设计、施工的处罚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151</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未按照设计图纸施工或者擅自修改图纸的处罚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152</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未取得设计、施工资格或者未按照资质等级承担城市道路的设计、施工任务的处罚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153</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承担市政工程设计、施工任务的单位违反城市道路管理规定的处罚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154</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擅自使用未经验收或者验收不合格的城市道路的处罚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155</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擅自在桥梁或者路灯设施上设置广告牌或者其他挂浮物的处罚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156</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占用城市道路期满或者挖掘城市道路后，不及时清理现场的处罚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157</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机动车在桥梁或者非指定的城市道路上试刹车的处罚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158</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未按照批准的位置、面积、期限占用或者挖掘城市道路，或者需要移动位置、扩大面积、延长时间，未提前办理变更审批手续的处罚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159</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未在城市道路施工现场设置明显标志和安全防围设施的处罚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160</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依附于城市道路建设各种管线、杆线等设施，不按照规定办理批准手续的处罚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161</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履带车、铁轮车或者超重、超高、超长车辆擅自在城市道路上行驶的处罚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162</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紧急抢修埋设在城市道路下的管线，不按照规定补办批准手续的处罚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163</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擅自占用或者挖掘城市道路的处罚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164</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在桥梁上架设压力在4公斤／平方厘米（0.4兆帕）以上的煤气管道、10千伏以上的高压电力线和其他易燃易爆管线的处罚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165</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擅自在城市道路上建设建筑物、构筑物的处罚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166</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未对设在城市道路上的各种管线的检查井、箱盖或者城市道路附属设施的缺损及时补缺或者修复的处罚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167</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承担城市道路养护、维修的单位未定期对城市道路进行养护、维修或者未按照规定的期限修复竣工的处罚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168</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对已取消占用城市道路作为集贸市场审批及事中事后情况进行行政检查</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169</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擅自使用未经验收或者验收不合格的城市道路的处罚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170</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对依附于城市道路建设各种管线、杆线等设施审批及事中事后情况进行行政检查</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171</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对依附于城市道路建设各种管线、杆线等设施审批及事中事后情况进行行政处罚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172</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对桥梁上架设各类市政管线审批及事中事后情况进行行政检查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173</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对桥梁上架设各类市政管线审批及事中事后情况进行行政处罚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174</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对占用、挖掘城市道路审批及事中事后情况进行行政检查</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175</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对占用、挖掘城市道路审批及事中事后情况进行行政处罚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176</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对特殊车辆在城市道路上行驶（包括经过城市桥梁）审批及事中事后情况进行行政检查</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《城市道路管理规定》</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177</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对机动车驾驶人在人行道上乱停乱放机动车行为的处罚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《江西省实施＜中华人民共和国道路交通安全法＞实施办法》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178</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对桥梁上架设各类市政管线审批及事中事后情况进行行政处罚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《城市桥梁检测和养护维修管理办法》</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179</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未按照规定对城市桥梁进行养护维修的处罚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《城市桥梁检测和养护维修管理办法》</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180</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未按照规定设置相应的标志，并保持其完好、清晰的处罚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《城市桥梁检测和养护维修管理办法》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181</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未按照规定制定城市桥梁的安全抢险预备方案的处罚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《城市桥梁检测和养护维修管理办法》</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182</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未按照规定编制城市桥梁养护维修的中长期规划和年度计划，或者未经批准即实施的处罚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《城市桥梁检测和养护维修管理办法》</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183</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未按照规定委托具有相应资格的机构对城市桥梁进行检测评估的处罚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《城市桥梁检测和养护维修管理办法》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184</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擅自在城市桥梁上架设各类管线、设置广告等辅助物的处罚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《城市桥梁检测和养护维修管理办法》</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185</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擅自在城市桥梁施工控制范围内从事河道疏浚、挖掘、打桩、地下管道顶进、爆破等作业活动的处罚 </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《城市桥梁检测和养护维修管理办法》</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186</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城市桥梁产权人或者委托管理人未按照规定设置承载能力、限高、危桥警示等标志的处罚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《城市桥梁检测和养护维修管理办法》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187</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对排水户名称、法定代表人等其他事项变更的行政检查</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188</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对排水户排放污水情况的行政检查</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189</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对排水户申请领取污水排入排水管网许可的行政检查</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《城镇排水与污水管理条例》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190</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对排水户发生排水事故应对和向主管部门报告的行政检查</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《城镇排水与污水管理条例》</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201</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对排水户妨碍、阻挠监督检查的行政处罚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202</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对排水户未取得污水排入排水管网许可，违规向城镇排水设施排水的行政处罚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《城镇污水排入排水管网许可管理办法》《城镇排水与污水管理条例》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203</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对排水户名称、法定代表人等其他事项未及时申请变更的行政处罚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204</w:t>
            </w:r>
          </w:p>
        </w:tc>
        <w:tc>
          <w:tcPr>
            <w:tcW w:w="599" w:type="dxa"/>
            <w:noWrap w:val="0"/>
            <w:vAlign w:val="center"/>
          </w:tcPr>
          <w:p>
            <w:pPr>
              <w:jc w:val="center"/>
              <w:rPr>
                <w:rFonts w:hint="eastAsia" w:ascii="仿宋_GB2312" w:eastAsia="仿宋_GB2312"/>
                <w:sz w:val="18"/>
                <w:szCs w:val="18"/>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对排水户发生排水事故为采取措施消除危害或者未及时向主管部门报告的行政处罚</w:t>
            </w:r>
          </w:p>
        </w:tc>
        <w:tc>
          <w:tcPr>
            <w:tcW w:w="2293" w:type="dxa"/>
            <w:noWrap w:val="0"/>
            <w:vAlign w:val="center"/>
          </w:tcPr>
          <w:p>
            <w:pPr>
              <w:rPr>
                <w:rFonts w:hint="eastAsia" w:ascii="仿宋_GB2312" w:eastAsia="仿宋_GB2312"/>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eastAsia="仿宋_GB2312"/>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ind w:firstLine="180" w:firstLineChars="100"/>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205</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对排水户未取得污水排入排水管网许可，违规向城镇排水设施排水的行政处罚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《城镇污水排入排水管网许可管理办法》《城镇排水与污水管理条例》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206</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城镇污水处理设施维护运营单位或者污泥处理处置单位对产生的污泥以及处理处置后的污泥的去向、用途、用量等未进行跟踪、记录的处罚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《城镇污水排入排水管网许可管理办法》《城镇排水与污水管理条例》</w:t>
            </w:r>
          </w:p>
          <w:p>
            <w:pPr>
              <w:rPr>
                <w:rFonts w:hint="eastAsia" w:ascii="仿宋_GB2312" w:eastAsia="仿宋_GB2312"/>
                <w:sz w:val="18"/>
                <w:szCs w:val="18"/>
              </w:rPr>
            </w:pP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207</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擅自倾倒、堆放、丢弃、遗撒污泥的处罚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《城镇污水排入排水管网许可管理办法》《城镇排水与污水管理条例》</w:t>
            </w:r>
          </w:p>
          <w:p>
            <w:pPr>
              <w:rPr>
                <w:rFonts w:hint="eastAsia" w:ascii="仿宋_GB2312" w:eastAsia="仿宋_GB2312"/>
                <w:sz w:val="18"/>
                <w:szCs w:val="18"/>
              </w:rPr>
            </w:pP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208</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城镇污水处理设施维护运营单位或者污泥处理处置单位处理处置后的污泥不符合国家有关标准的处罚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《城镇污水排入排水管网许可管理办法》《城镇排水与污水管理条例》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209</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未按照国家有关规定履行日常巡查、维修和养护责任，保障设施安全运行的处罚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210</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因巡查、维护不到位，导致窨井盖丢失、损毁，造成人员伤亡和财产损失的处罚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eastAsia="仿宋_GB2312"/>
                <w:sz w:val="18"/>
                <w:szCs w:val="18"/>
              </w:rPr>
            </w:pP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211</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未及时采取防护措施、组织事故抢修的处罚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212</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对破坏或者擅自改变房屋外观的处罚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213</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对违法搭建建筑物、构筑物的处罚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eastAsia="仿宋_GB2312"/>
                <w:sz w:val="18"/>
                <w:szCs w:val="18"/>
              </w:rPr>
            </w:pP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214</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损坏或者擅自变动房屋承重结构、主体结构的处罚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215</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擅自改变物业使用性质的处罚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216</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对从事危及城镇排水设施安全活动的行政处罚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217</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城镇污水处理设施维护运营单位未按照国家有关规定检测进出水水质的处罚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eastAsia="仿宋_GB2312"/>
                <w:sz w:val="18"/>
                <w:szCs w:val="18"/>
              </w:rPr>
            </w:pP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218</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城镇污水处理设施维护运营单位擅自停运城镇污水处理设施的处罚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219</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排水户未取得城市排水许可证书，向城市排水管网及其附属设施排放污水；超过城市排水许可证书有效期限向城市排水管网及其附属设施排放污水的处罚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220</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排水户违反城市排水许可证书规定的内容，向城市排水管网及其附属设施排放污水的行政处罚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221</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排水户名称、法定代表人等其他事项变更未向城镇排水主管部门申请的行政处罚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222</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排水户未将污水排入城市排水管网及其附属设施的或者在雨水、污水分流地区将污水排入雨水管网的处罚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223</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排水户以欺骗、贿赂等不正当手段取得排水许可的行政处罚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《城镇污水排入排水管网许可管理办法》</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224</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因城镇排水设施维护或者检修可能对排水造成影响或者严重影响的处罚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225</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未按照要求对每日收运、进出场站、处置的生活垃圾进行计量，将统计数据和报表报送所在地建设（环境卫生）主管部门的处罚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226</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排水单位或者个人不缴纳污水处理费的处罚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227</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将雨水管网、污水管网相互混接的处罚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228</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排水户不按照污水排入排水管网许可证的要求排放污水的行政处罚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229</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有关单位未与施工单位、设施维护运营单位等共同制定设施保护方案，并采取相应的安全防护措施；擅自拆除、改动城镇排水与污水处理设施的处罚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230</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擅自拆除、改动城镇排水与污水处理设施的处罚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231</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有关单位未与施工单位、设施维护运营单位等共同制定设施保护方案，并采取相应的安全防护措施的处罚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《城镇排水与污水处理条例》</w:t>
            </w: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232</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对工程建设单位拆除、改装或者迁移城市公共供水设施行为的行政检查</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《城市供水条例》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233</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对工程建设单位拆除、改动城镇排水与污水处理设施的行政检查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《城镇排水与污水管理条例》</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234</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对工程建设单位擅自拆除、改装或者迁移城市公共供水设施行为的行政处罚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《城市供水条例》</w:t>
            </w: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235</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对擅自拆除、改动城镇排水与污水处理设施行为的行政处罚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《城镇排水与污水管理条例》</w:t>
            </w:r>
          </w:p>
          <w:p>
            <w:pPr>
              <w:rPr>
                <w:rFonts w:hint="eastAsia" w:ascii="仿宋_GB2312" w:eastAsia="仿宋_GB2312"/>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236</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收费公共厕所不符合卫生标准的行政强制</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《江西省城市市容环境和卫生管理实施办法》</w:t>
            </w:r>
          </w:p>
          <w:p>
            <w:pPr>
              <w:rPr>
                <w:rFonts w:hint="eastAsia" w:ascii="仿宋_GB2312" w:hAnsi="宋体" w:eastAsia="仿宋_GB2312" w:cs="宋体"/>
                <w:sz w:val="18"/>
                <w:szCs w:val="18"/>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237</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影剧院、商店、饭店、车站等公共建筑没有附设公厕或者原有公厕及其卫生设施不足的，未按照城市人民政府环境卫生行政主管部门的要求进行新建、扩建或者改造的处罚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_GB2312" w:eastAsia="仿宋_GB2312"/>
                <w:sz w:val="18"/>
                <w:szCs w:val="18"/>
              </w:rPr>
            </w:pPr>
            <w:r>
              <w:rPr>
                <w:rFonts w:hint="eastAsia" w:ascii="仿宋_GB2312" w:eastAsia="仿宋_GB2312"/>
                <w:sz w:val="18"/>
                <w:szCs w:val="18"/>
              </w:rPr>
              <w:t xml:space="preserve">                                                                                  《城市公厕管理办法》</w:t>
            </w:r>
          </w:p>
          <w:p>
            <w:pPr>
              <w:rPr>
                <w:rFonts w:hint="eastAsia" w:ascii="仿宋_GB2312" w:hAnsi="宋体" w:eastAsia="仿宋_GB2312" w:cs="宋体"/>
                <w:kern w:val="2"/>
                <w:sz w:val="18"/>
                <w:szCs w:val="18"/>
                <w:lang w:val="en-US" w:eastAsia="zh-CN" w:bidi="ar-SA"/>
              </w:rPr>
            </w:pP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238</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擅自占用城市公厕规划用地或者改变其性质的处罚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《城市公厕管理办法》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239</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公共建筑附设的公厕及其卫生设施的设计和安装，不符合国家和地方的有关标准的处罚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《城市公厕管理办法》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230</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负责城市公厕的建设和维修管理的单位在改造或者重建损坏严重或者年久失修的公厕前未先建临时公厕的处罚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kern w:val="2"/>
                <w:sz w:val="18"/>
                <w:szCs w:val="18"/>
                <w:lang w:val="en-US" w:eastAsia="zh-CN" w:bidi="ar-SA"/>
              </w:rPr>
            </w:pPr>
            <w:r>
              <w:rPr>
                <w:rFonts w:hint="eastAsia" w:ascii="仿宋" w:hAnsi="仿宋" w:eastAsia="仿宋" w:cs="仿宋"/>
                <w:sz w:val="18"/>
                <w:szCs w:val="18"/>
              </w:rPr>
              <w:t>《城市公厕管理办法》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231</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擅自交付使用验收不合格的城市公厕独立的处罚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《城市公厕管理办法》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232</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在城市景观照明中有过度照明等超能耗标准行为的处罚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《城市照明管理规定》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233</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擅自在城市照明设施上张贴、悬挂、设置宣传品、广告的处罚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kern w:val="2"/>
                <w:sz w:val="18"/>
                <w:szCs w:val="18"/>
                <w:lang w:val="en-US" w:eastAsia="zh-CN" w:bidi="ar-SA"/>
              </w:rPr>
            </w:pPr>
            <w:r>
              <w:rPr>
                <w:rFonts w:hint="eastAsia" w:ascii="仿宋" w:hAnsi="仿宋" w:eastAsia="仿宋" w:cs="仿宋"/>
                <w:sz w:val="18"/>
                <w:szCs w:val="18"/>
              </w:rPr>
              <w:t>《城市照明管理规定》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234</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在城市照明设施安全距离内，擅自植树、挖坑取土或者设置其他物体，或者倾倒含酸、碱、盐等腐蚀物或者具有腐蚀性的废渣、废液的处罚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《城市照明管理规定》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235</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擅自迁移、拆除、利用城市照明设施及其他影响城市照明设施正常运行的处罚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《城市照明管理规定》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236</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擅自在城市照明设施上架设线缆、安置其它设施或者接用电源的处罚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kern w:val="2"/>
                <w:sz w:val="18"/>
                <w:szCs w:val="18"/>
                <w:lang w:val="en-US" w:eastAsia="zh-CN" w:bidi="ar-SA"/>
              </w:rPr>
            </w:pPr>
            <w:r>
              <w:rPr>
                <w:rFonts w:hint="eastAsia" w:ascii="仿宋" w:hAnsi="仿宋" w:eastAsia="仿宋" w:cs="仿宋"/>
                <w:sz w:val="18"/>
                <w:szCs w:val="18"/>
              </w:rPr>
              <w:t>《城市照明管理规定》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237</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在城市照明设施上刻划、涂污的处罚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《城市照明管理规定》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238</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违反城市公园管理规定的行为的处罚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《赣州市城市管理条例》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239</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擅自在动物园内摆摊设点的处罚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kern w:val="2"/>
                <w:sz w:val="18"/>
                <w:szCs w:val="18"/>
                <w:lang w:val="en-US" w:eastAsia="zh-CN" w:bidi="ar-SA"/>
              </w:rPr>
            </w:pPr>
            <w:r>
              <w:rPr>
                <w:rFonts w:hint="eastAsia" w:ascii="仿宋" w:hAnsi="仿宋" w:eastAsia="仿宋" w:cs="仿宋"/>
                <w:sz w:val="18"/>
                <w:szCs w:val="18"/>
              </w:rPr>
              <w:t>《城市动物园管理规定》</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240</w:t>
            </w:r>
          </w:p>
        </w:tc>
        <w:tc>
          <w:tcPr>
            <w:tcW w:w="59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市政公用管理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城市饮食服务业的经营者未采取有效污染防治措施，致使排放的油烟对附近居民的居住环境造成污染的处罚</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《中华人民共和国大气污染防治法》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241</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物业管理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损坏或者擅自变动房屋承重结构、主体结构,违法搭建建筑物、构筑物,破坏或者擅自改变房屋外观,擅自改变物业使用性质的处罚</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《江西省物业管理条例》</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kern w:val="2"/>
                <w:sz w:val="18"/>
                <w:szCs w:val="18"/>
                <w:lang w:val="en-US" w:eastAsia="zh-CN" w:bidi="ar-SA"/>
              </w:rPr>
            </w:pPr>
            <w:r>
              <w:rPr>
                <w:rFonts w:hint="eastAsia" w:ascii="仿宋_GB2312" w:hAnsi="宋体" w:eastAsia="仿宋_GB2312" w:cs="宋体"/>
                <w:sz w:val="18"/>
                <w:szCs w:val="18"/>
                <w:lang w:val="en-US" w:eastAsia="zh-CN"/>
              </w:rPr>
              <w:t>242</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行政</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权利管理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先行登记保存证据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kern w:val="2"/>
                <w:sz w:val="18"/>
                <w:szCs w:val="18"/>
                <w:lang w:val="en-US" w:eastAsia="zh-CN" w:bidi="ar-SA"/>
              </w:rPr>
            </w:pPr>
            <w:r>
              <w:rPr>
                <w:rFonts w:hint="eastAsia" w:ascii="仿宋" w:hAnsi="仿宋" w:eastAsia="仿宋" w:cs="仿宋"/>
                <w:sz w:val="18"/>
                <w:szCs w:val="18"/>
              </w:rPr>
              <w:t>《中华人民共和国行政处罚法》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kern w:val="2"/>
                <w:sz w:val="18"/>
                <w:szCs w:val="18"/>
                <w:lang w:val="en-US" w:eastAsia="zh-CN" w:bidi="ar-SA"/>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kern w:val="2"/>
                <w:sz w:val="18"/>
                <w:szCs w:val="18"/>
                <w:lang w:val="en-US" w:eastAsia="zh-CN" w:bidi="ar-SA"/>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4"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243</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行政</w:t>
            </w:r>
          </w:p>
          <w:p>
            <w:pPr>
              <w:jc w:val="center"/>
              <w:rPr>
                <w:rFonts w:hint="eastAsia" w:ascii="仿宋_GB2312" w:hAnsi="宋体" w:eastAsia="仿宋_GB2312" w:cs="宋体"/>
                <w:kern w:val="2"/>
                <w:sz w:val="18"/>
                <w:szCs w:val="18"/>
                <w:lang w:val="en-US" w:eastAsia="zh-CN" w:bidi="ar-SA"/>
              </w:rPr>
            </w:pPr>
            <w:r>
              <w:rPr>
                <w:rFonts w:hint="eastAsia" w:ascii="仿宋_GB2312" w:hAnsi="宋体" w:eastAsia="仿宋_GB2312" w:cs="宋体"/>
                <w:sz w:val="18"/>
                <w:szCs w:val="18"/>
                <w:lang w:eastAsia="zh-CN"/>
              </w:rPr>
              <w:t>权利管理</w:t>
            </w:r>
          </w:p>
        </w:tc>
        <w:tc>
          <w:tcPr>
            <w:tcW w:w="1798"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加处罚款   </w:t>
            </w:r>
          </w:p>
        </w:tc>
        <w:tc>
          <w:tcPr>
            <w:tcW w:w="2293"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《中华人民共和国行政处罚法》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default" w:ascii="仿宋_GB2312" w:eastAsia="仿宋_GB2312"/>
                <w:sz w:val="18"/>
                <w:szCs w:val="18"/>
                <w:u w:val="none"/>
                <w:lang w:val="en-US" w:eastAsia="zh-CN"/>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2" w:hRule="atLeast"/>
        </w:trPr>
        <w:tc>
          <w:tcPr>
            <w:tcW w:w="535" w:type="dxa"/>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244</w:t>
            </w:r>
          </w:p>
        </w:tc>
        <w:tc>
          <w:tcPr>
            <w:tcW w:w="599"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行政</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权利管理</w:t>
            </w:r>
          </w:p>
        </w:tc>
        <w:tc>
          <w:tcPr>
            <w:tcW w:w="179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 xml:space="preserve">被许可人以欺骗、贿赂等不正当手段取得行政许可的处罚 </w:t>
            </w:r>
          </w:p>
        </w:tc>
        <w:tc>
          <w:tcPr>
            <w:tcW w:w="2293" w:type="dxa"/>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348" w:type="dxa"/>
            <w:noWrap w:val="0"/>
            <w:vAlign w:val="center"/>
          </w:tcPr>
          <w:p>
            <w:pPr>
              <w:rPr>
                <w:rFonts w:hint="eastAsia" w:ascii="仿宋" w:hAnsi="仿宋" w:eastAsia="仿宋" w:cs="仿宋"/>
                <w:sz w:val="18"/>
                <w:szCs w:val="18"/>
              </w:rPr>
            </w:pPr>
            <w:r>
              <w:rPr>
                <w:rFonts w:hint="eastAsia" w:ascii="仿宋" w:hAnsi="仿宋" w:eastAsia="仿宋" w:cs="仿宋"/>
                <w:sz w:val="18"/>
                <w:szCs w:val="18"/>
              </w:rPr>
              <w:t>《中华人民共和国行政许可法》</w:t>
            </w:r>
          </w:p>
        </w:tc>
        <w:tc>
          <w:tcPr>
            <w:tcW w:w="1475" w:type="dxa"/>
            <w:noWrap w:val="0"/>
            <w:vAlign w:val="center"/>
          </w:tcPr>
          <w:p>
            <w:pPr>
              <w:numPr>
                <w:ilvl w:val="0"/>
                <w:numId w:val="0"/>
              </w:numPr>
              <w:rPr>
                <w:rFonts w:hint="eastAsia" w:ascii="仿宋_GB2312" w:eastAsia="仿宋_GB2312"/>
                <w:sz w:val="18"/>
                <w:szCs w:val="18"/>
              </w:rPr>
            </w:pPr>
            <w:r>
              <w:rPr>
                <w:rFonts w:hint="eastAsia" w:ascii="仿宋_GB2312" w:eastAsia="仿宋_GB2312"/>
                <w:sz w:val="18"/>
                <w:szCs w:val="18"/>
                <w:lang w:val="en-US" w:eastAsia="zh-CN"/>
              </w:rPr>
              <w:t>1.</w:t>
            </w:r>
            <w:r>
              <w:rPr>
                <w:rFonts w:hint="eastAsia" w:ascii="仿宋_GB2312" w:eastAsia="仿宋_GB2312"/>
                <w:sz w:val="18"/>
                <w:szCs w:val="18"/>
              </w:rPr>
              <w:t>除处罚决定外其他内容：长期公开（动态调整）；</w:t>
            </w:r>
          </w:p>
          <w:p>
            <w:pPr>
              <w:numPr>
                <w:ilvl w:val="0"/>
                <w:numId w:val="0"/>
              </w:numPr>
              <w:ind w:left="0" w:leftChars="0" w:firstLine="0" w:firstLineChars="0"/>
              <w:rPr>
                <w:rFonts w:hint="eastAsia" w:ascii="仿宋_GB2312" w:hAnsi="宋体" w:eastAsia="仿宋_GB2312" w:cs="宋体"/>
                <w:sz w:val="18"/>
                <w:szCs w:val="18"/>
              </w:rPr>
            </w:pPr>
            <w:r>
              <w:rPr>
                <w:rFonts w:hint="eastAsia" w:ascii="仿宋_GB2312" w:eastAsia="仿宋_GB2312"/>
                <w:sz w:val="18"/>
                <w:szCs w:val="18"/>
                <w:lang w:val="en-US" w:eastAsia="zh-CN"/>
              </w:rPr>
              <w:t>2.</w:t>
            </w:r>
            <w:r>
              <w:rPr>
                <w:rFonts w:hint="eastAsia" w:ascii="仿宋_GB2312" w:eastAsia="仿宋_GB2312"/>
                <w:sz w:val="18"/>
                <w:szCs w:val="18"/>
              </w:rPr>
              <w:t>处罚决定：20个工作日内。</w:t>
            </w:r>
          </w:p>
        </w:tc>
        <w:tc>
          <w:tcPr>
            <w:tcW w:w="723"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城</w:t>
            </w:r>
          </w:p>
          <w:p>
            <w:pPr>
              <w:jc w:val="cente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管</w:t>
            </w:r>
          </w:p>
          <w:p>
            <w:pPr>
              <w:jc w:val="center"/>
              <w:rPr>
                <w:rFonts w:hint="eastAsia" w:ascii="仿宋_GB2312" w:hAnsi="宋体" w:eastAsia="仿宋_GB2312" w:cs="宋体"/>
                <w:sz w:val="18"/>
                <w:szCs w:val="18"/>
              </w:rPr>
            </w:pPr>
            <w:r>
              <w:rPr>
                <w:rFonts w:hint="eastAsia" w:ascii="仿宋_GB2312" w:hAnsi="宋体" w:eastAsia="仿宋_GB2312" w:cs="宋体"/>
                <w:sz w:val="18"/>
                <w:szCs w:val="18"/>
                <w:lang w:eastAsia="zh-CN"/>
              </w:rPr>
              <w:t>局</w:t>
            </w:r>
          </w:p>
        </w:tc>
        <w:tc>
          <w:tcPr>
            <w:tcW w:w="2643" w:type="dxa"/>
            <w:noWrap w:val="0"/>
            <w:vAlign w:val="center"/>
          </w:tcPr>
          <w:p>
            <w:pPr>
              <w:rPr>
                <w:rFonts w:hint="eastAsia" w:ascii="仿宋_GB2312" w:eastAsia="仿宋_GB2312"/>
                <w:sz w:val="18"/>
                <w:szCs w:val="18"/>
                <w:lang w:eastAsia="zh-CN"/>
              </w:rPr>
            </w:pPr>
            <w:r>
              <w:rPr>
                <w:rFonts w:hint="eastAsia" w:ascii="仿宋_GB2312" w:eastAsia="仿宋_GB2312"/>
                <w:sz w:val="18"/>
                <w:szCs w:val="18"/>
              </w:rPr>
              <w:t>■政府网站</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■公开查阅点</w:t>
            </w:r>
            <w:r>
              <w:rPr>
                <w:rFonts w:hint="eastAsia" w:ascii="仿宋_GB2312" w:eastAsia="仿宋_GB2312"/>
                <w:sz w:val="18"/>
                <w:szCs w:val="18"/>
                <w:lang w:val="en-US" w:eastAsia="zh-CN"/>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w:t>
            </w:r>
            <w:r>
              <w:rPr>
                <w:rFonts w:hint="eastAsia" w:ascii="仿宋_GB2312" w:eastAsia="仿宋_GB2312"/>
                <w:sz w:val="18"/>
                <w:szCs w:val="18"/>
                <w:lang w:val="en-US" w:eastAsia="zh-CN"/>
              </w:rPr>
              <w:t>精准推送</w:t>
            </w:r>
          </w:p>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两微一端</w:t>
            </w:r>
          </w:p>
        </w:tc>
        <w:tc>
          <w:tcPr>
            <w:tcW w:w="859"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09"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641"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873"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804"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50" w:type="dxa"/>
            <w:noWrap w:val="0"/>
            <w:vAlign w:val="center"/>
          </w:tcPr>
          <w:p>
            <w:pPr>
              <w:jc w:val="center"/>
              <w:rPr>
                <w:rFonts w:hint="eastAsia" w:ascii="仿宋_GB2312" w:hAnsi="Arial" w:eastAsia="仿宋_GB2312" w:cs="Arial"/>
                <w:sz w:val="18"/>
                <w:szCs w:val="18"/>
              </w:rPr>
            </w:pPr>
          </w:p>
        </w:tc>
      </w:tr>
    </w:tbl>
    <w:p/>
    <w:sectPr>
      <w:pgSz w:w="16838" w:h="11906" w:orient="landscape"/>
      <w:pgMar w:top="1009" w:right="1440" w:bottom="952" w:left="13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64B65D"/>
    <w:multiLevelType w:val="singleLevel"/>
    <w:tmpl w:val="D064B65D"/>
    <w:lvl w:ilvl="0" w:tentative="0">
      <w:start w:val="1"/>
      <w:numFmt w:val="decimal"/>
      <w:lvlText w:val="%1."/>
      <w:lvlJc w:val="left"/>
      <w:pPr>
        <w:tabs>
          <w:tab w:val="left" w:pos="312"/>
        </w:tabs>
      </w:pPr>
    </w:lvl>
  </w:abstractNum>
  <w:abstractNum w:abstractNumId="1">
    <w:nsid w:val="FD37A052"/>
    <w:multiLevelType w:val="singleLevel"/>
    <w:tmpl w:val="FD37A05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E5D7B"/>
    <w:rsid w:val="09786D74"/>
    <w:rsid w:val="0AC57B25"/>
    <w:rsid w:val="0DB577F7"/>
    <w:rsid w:val="0E746CD6"/>
    <w:rsid w:val="0F6E7914"/>
    <w:rsid w:val="12070122"/>
    <w:rsid w:val="1B1370B4"/>
    <w:rsid w:val="1C026151"/>
    <w:rsid w:val="360B613D"/>
    <w:rsid w:val="3F6F3AA0"/>
    <w:rsid w:val="454577DB"/>
    <w:rsid w:val="5A2E5D7B"/>
    <w:rsid w:val="5A72522C"/>
    <w:rsid w:val="73D122F0"/>
    <w:rsid w:val="7F724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2020-10-24T01:03:00Z</dcterms:created>
  <dc:creator>hongxuefeng</dc:creator>
  <cp:lastModifiedBy>飞扬的心态</cp:lastModifiedBy>
  <dcterms:modified xsi:type="dcterms:W3CDTF">2020-12-10T02:23:04Z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